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7D3" w:rsidRDefault="007D47D3">
      <w:pPr>
        <w:ind w:right="180"/>
        <w:jc w:val="center"/>
        <w:rPr>
          <w:rFonts w:ascii="Arial" w:hAnsi="Arial" w:cs="Arial"/>
          <w:b/>
          <w:bCs/>
          <w:sz w:val="22"/>
          <w:szCs w:val="22"/>
        </w:rPr>
      </w:pPr>
    </w:p>
    <w:p w:rsidR="007D47D3" w:rsidRDefault="007D47D3">
      <w:pPr>
        <w:ind w:right="180"/>
        <w:jc w:val="center"/>
        <w:rPr>
          <w:rFonts w:ascii="Arial" w:hAnsi="Arial" w:cs="Arial"/>
          <w:b/>
          <w:bCs/>
          <w:sz w:val="22"/>
          <w:szCs w:val="22"/>
        </w:rPr>
      </w:pPr>
    </w:p>
    <w:p w:rsidR="007D47D3" w:rsidRDefault="007D47D3">
      <w:pPr>
        <w:ind w:right="180"/>
        <w:jc w:val="center"/>
        <w:rPr>
          <w:rFonts w:ascii="Arial" w:hAnsi="Arial" w:cs="Arial"/>
          <w:b/>
          <w:bCs/>
          <w:sz w:val="22"/>
          <w:szCs w:val="22"/>
        </w:rPr>
      </w:pPr>
      <w:r>
        <w:rPr>
          <w:rFonts w:ascii="Arial" w:hAnsi="Arial" w:cs="Arial"/>
          <w:b/>
          <w:bCs/>
          <w:sz w:val="22"/>
          <w:szCs w:val="22"/>
        </w:rPr>
        <w:t>THREE-A RESOURCES BERHAD (481559-M)</w:t>
      </w:r>
    </w:p>
    <w:p w:rsidR="007D47D3" w:rsidRDefault="007D47D3">
      <w:pPr>
        <w:jc w:val="center"/>
        <w:rPr>
          <w:rFonts w:ascii="Arial" w:hAnsi="Arial" w:cs="Arial"/>
        </w:rPr>
      </w:pPr>
      <w:r>
        <w:rPr>
          <w:rFonts w:ascii="Arial" w:hAnsi="Arial" w:cs="Arial"/>
        </w:rPr>
        <w:t>(Incorporated in Malaysia)</w:t>
      </w:r>
    </w:p>
    <w:p w:rsidR="007D47D3" w:rsidRDefault="007D47D3">
      <w:pPr>
        <w:jc w:val="both"/>
        <w:rPr>
          <w:rFonts w:ascii="Arial" w:hAnsi="Arial" w:cs="Arial"/>
        </w:rPr>
      </w:pPr>
    </w:p>
    <w:p w:rsidR="007D47D3" w:rsidRDefault="007D47D3">
      <w:pPr>
        <w:jc w:val="both"/>
        <w:rPr>
          <w:rFonts w:ascii="Arial" w:hAnsi="Arial" w:cs="Arial"/>
        </w:rPr>
      </w:pPr>
    </w:p>
    <w:p w:rsidR="007D47D3" w:rsidRDefault="007D47D3">
      <w:pPr>
        <w:jc w:val="both"/>
        <w:rPr>
          <w:rFonts w:ascii="Arial" w:hAnsi="Arial" w:cs="Arial"/>
        </w:rPr>
      </w:pPr>
    </w:p>
    <w:p w:rsidR="007D47D3" w:rsidRDefault="007D47D3">
      <w:pPr>
        <w:jc w:val="both"/>
        <w:rPr>
          <w:rFonts w:ascii="Arial" w:hAnsi="Arial" w:cs="Arial"/>
          <w:sz w:val="22"/>
          <w:szCs w:val="22"/>
        </w:rPr>
      </w:pPr>
      <w:r>
        <w:rPr>
          <w:rFonts w:ascii="Arial" w:hAnsi="Arial" w:cs="Arial"/>
          <w:sz w:val="22"/>
          <w:szCs w:val="22"/>
        </w:rPr>
        <w:t>NOTICE IS HEREBY GIVEN THAT the Eighth Annual General Meeting of the Company will be held at Ballroom Level 1, Tropicana Golf &amp; Country Resort, 47410 Petaling Jaya, Selangor Darul Ehsan on Monday, the 19 day of April 2010 at 10.00 a.m. for the following purposes:-</w:t>
      </w:r>
    </w:p>
    <w:p w:rsidR="007D47D3" w:rsidRDefault="007D47D3">
      <w:pPr>
        <w:jc w:val="center"/>
        <w:rPr>
          <w:rFonts w:ascii="Arial" w:hAnsi="Arial" w:cs="Arial"/>
          <w:sz w:val="22"/>
          <w:szCs w:val="22"/>
        </w:rPr>
      </w:pPr>
    </w:p>
    <w:p w:rsidR="007D47D3" w:rsidRDefault="007D47D3">
      <w:pPr>
        <w:jc w:val="center"/>
        <w:rPr>
          <w:rFonts w:ascii="Arial" w:hAnsi="Arial" w:cs="Arial"/>
          <w:sz w:val="22"/>
          <w:szCs w:val="22"/>
        </w:rPr>
      </w:pPr>
    </w:p>
    <w:p w:rsidR="007D47D3" w:rsidRDefault="007D47D3">
      <w:pPr>
        <w:jc w:val="center"/>
        <w:rPr>
          <w:rFonts w:ascii="Arial" w:hAnsi="Arial" w:cs="Arial"/>
          <w:b/>
          <w:bCs/>
          <w:sz w:val="22"/>
          <w:szCs w:val="22"/>
        </w:rPr>
      </w:pPr>
      <w:r>
        <w:rPr>
          <w:rFonts w:ascii="Arial" w:hAnsi="Arial" w:cs="Arial"/>
          <w:b/>
          <w:bCs/>
          <w:sz w:val="22"/>
          <w:szCs w:val="22"/>
        </w:rPr>
        <w:t>A G E N D A</w:t>
      </w:r>
    </w:p>
    <w:p w:rsidR="007D47D3" w:rsidRDefault="007D47D3">
      <w:pPr>
        <w:jc w:val="center"/>
        <w:rPr>
          <w:rFonts w:ascii="Arial" w:hAnsi="Arial" w:cs="Arial"/>
          <w:b/>
          <w:bCs/>
          <w:sz w:val="22"/>
          <w:szCs w:val="22"/>
        </w:rPr>
      </w:pPr>
    </w:p>
    <w:p w:rsidR="007D47D3" w:rsidRDefault="007D47D3">
      <w:pPr>
        <w:jc w:val="both"/>
        <w:rPr>
          <w:rFonts w:ascii="Arial" w:hAnsi="Arial" w:cs="Arial"/>
          <w:sz w:val="16"/>
          <w:szCs w:val="16"/>
        </w:rPr>
      </w:pPr>
    </w:p>
    <w:tbl>
      <w:tblPr>
        <w:tblW w:w="8928" w:type="dxa"/>
        <w:tblInd w:w="-106" w:type="dxa"/>
        <w:tblLayout w:type="fixed"/>
        <w:tblLook w:val="0000"/>
      </w:tblPr>
      <w:tblGrid>
        <w:gridCol w:w="468"/>
        <w:gridCol w:w="810"/>
        <w:gridCol w:w="5940"/>
        <w:gridCol w:w="1710"/>
      </w:tblGrid>
      <w:tr w:rsidR="007D47D3">
        <w:tc>
          <w:tcPr>
            <w:tcW w:w="468" w:type="dxa"/>
          </w:tcPr>
          <w:p w:rsidR="007D47D3" w:rsidRDefault="007D47D3">
            <w:pPr>
              <w:jc w:val="both"/>
              <w:rPr>
                <w:rFonts w:ascii="Arial" w:hAnsi="Arial" w:cs="Arial"/>
                <w:sz w:val="22"/>
                <w:szCs w:val="22"/>
              </w:rPr>
            </w:pPr>
          </w:p>
          <w:p w:rsidR="007D47D3" w:rsidRDefault="007D47D3">
            <w:pPr>
              <w:jc w:val="both"/>
              <w:rPr>
                <w:rFonts w:ascii="Arial" w:hAnsi="Arial" w:cs="Arial"/>
                <w:sz w:val="22"/>
                <w:szCs w:val="22"/>
              </w:rPr>
            </w:pPr>
            <w:r>
              <w:rPr>
                <w:rFonts w:ascii="Arial" w:hAnsi="Arial" w:cs="Arial"/>
                <w:sz w:val="22"/>
                <w:szCs w:val="22"/>
              </w:rPr>
              <w:t>1.</w:t>
            </w:r>
          </w:p>
        </w:tc>
        <w:tc>
          <w:tcPr>
            <w:tcW w:w="6750" w:type="dxa"/>
            <w:gridSpan w:val="2"/>
          </w:tcPr>
          <w:p w:rsidR="007D47D3" w:rsidRDefault="007D47D3">
            <w:pPr>
              <w:jc w:val="both"/>
              <w:rPr>
                <w:rFonts w:ascii="Arial" w:hAnsi="Arial" w:cs="Arial"/>
                <w:sz w:val="22"/>
                <w:szCs w:val="22"/>
              </w:rPr>
            </w:pPr>
          </w:p>
          <w:p w:rsidR="007D47D3" w:rsidRDefault="007D47D3">
            <w:pPr>
              <w:rPr>
                <w:rFonts w:ascii="Arial" w:hAnsi="Arial" w:cs="Arial"/>
                <w:sz w:val="22"/>
                <w:szCs w:val="22"/>
              </w:rPr>
            </w:pPr>
            <w:r>
              <w:rPr>
                <w:rFonts w:ascii="Arial" w:hAnsi="Arial" w:cs="Arial"/>
                <w:sz w:val="22"/>
                <w:szCs w:val="22"/>
              </w:rPr>
              <w:t>To receive the audited Financial Statements for the financial year ended 31</w:t>
            </w:r>
            <w:r>
              <w:rPr>
                <w:rFonts w:ascii="Arial" w:hAnsi="Arial" w:cs="Arial"/>
                <w:sz w:val="22"/>
                <w:szCs w:val="22"/>
                <w:vertAlign w:val="superscript"/>
              </w:rPr>
              <w:t>st</w:t>
            </w:r>
            <w:r>
              <w:rPr>
                <w:rFonts w:ascii="Arial" w:hAnsi="Arial" w:cs="Arial"/>
                <w:sz w:val="22"/>
                <w:szCs w:val="22"/>
              </w:rPr>
              <w:t xml:space="preserve"> December 2009 and the Reports of the Directors and Auditors thereon.</w:t>
            </w:r>
            <w:r>
              <w:rPr>
                <w:rFonts w:ascii="Arial" w:hAnsi="Arial" w:cs="Arial"/>
                <w:sz w:val="22"/>
                <w:szCs w:val="22"/>
              </w:rPr>
              <w:tab/>
            </w:r>
            <w:r>
              <w:rPr>
                <w:rFonts w:ascii="Arial" w:hAnsi="Arial" w:cs="Arial"/>
                <w:sz w:val="22"/>
                <w:szCs w:val="22"/>
              </w:rPr>
              <w:tab/>
            </w:r>
          </w:p>
        </w:tc>
        <w:tc>
          <w:tcPr>
            <w:tcW w:w="1710" w:type="dxa"/>
          </w:tcPr>
          <w:p w:rsidR="007D47D3" w:rsidRDefault="007D47D3">
            <w:pPr>
              <w:jc w:val="both"/>
              <w:rPr>
                <w:rFonts w:ascii="Arial" w:hAnsi="Arial" w:cs="Arial"/>
                <w:sz w:val="22"/>
                <w:szCs w:val="22"/>
              </w:rPr>
            </w:pPr>
          </w:p>
          <w:p w:rsidR="007D47D3" w:rsidRDefault="007D47D3">
            <w:pPr>
              <w:tabs>
                <w:tab w:val="left" w:pos="6840"/>
              </w:tabs>
              <w:ind w:left="720" w:hanging="720"/>
              <w:jc w:val="both"/>
              <w:rPr>
                <w:rFonts w:ascii="Arial" w:hAnsi="Arial" w:cs="Arial"/>
                <w:sz w:val="22"/>
                <w:szCs w:val="22"/>
              </w:rPr>
            </w:pPr>
          </w:p>
          <w:p w:rsidR="007D47D3" w:rsidRDefault="007D47D3">
            <w:pPr>
              <w:tabs>
                <w:tab w:val="left" w:pos="6840"/>
              </w:tabs>
              <w:ind w:left="720" w:hanging="720"/>
              <w:jc w:val="both"/>
              <w:rPr>
                <w:rFonts w:ascii="Arial" w:hAnsi="Arial" w:cs="Arial"/>
                <w:sz w:val="22"/>
                <w:szCs w:val="22"/>
              </w:rPr>
            </w:pPr>
            <w:r>
              <w:rPr>
                <w:rFonts w:ascii="Arial" w:hAnsi="Arial" w:cs="Arial"/>
                <w:sz w:val="22"/>
                <w:szCs w:val="22"/>
              </w:rPr>
              <w:t>(Resolution 1)</w:t>
            </w:r>
          </w:p>
          <w:p w:rsidR="007D47D3" w:rsidRDefault="007D47D3">
            <w:pPr>
              <w:jc w:val="both"/>
              <w:rPr>
                <w:rFonts w:ascii="Arial" w:hAnsi="Arial" w:cs="Arial"/>
                <w:sz w:val="22"/>
                <w:szCs w:val="22"/>
              </w:rPr>
            </w:pPr>
          </w:p>
        </w:tc>
      </w:tr>
      <w:tr w:rsidR="007D47D3">
        <w:tc>
          <w:tcPr>
            <w:tcW w:w="468" w:type="dxa"/>
          </w:tcPr>
          <w:p w:rsidR="007D47D3" w:rsidRDefault="007D47D3">
            <w:pPr>
              <w:jc w:val="both"/>
              <w:rPr>
                <w:rFonts w:ascii="Arial" w:hAnsi="Arial" w:cs="Arial"/>
                <w:sz w:val="22"/>
                <w:szCs w:val="22"/>
              </w:rPr>
            </w:pPr>
          </w:p>
          <w:p w:rsidR="007D47D3" w:rsidRDefault="007D47D3">
            <w:pPr>
              <w:jc w:val="both"/>
              <w:rPr>
                <w:rFonts w:ascii="Arial" w:hAnsi="Arial" w:cs="Arial"/>
                <w:sz w:val="22"/>
                <w:szCs w:val="22"/>
              </w:rPr>
            </w:pPr>
            <w:r>
              <w:rPr>
                <w:rFonts w:ascii="Arial" w:hAnsi="Arial" w:cs="Arial"/>
                <w:sz w:val="22"/>
                <w:szCs w:val="22"/>
              </w:rPr>
              <w:t>2.</w:t>
            </w:r>
          </w:p>
        </w:tc>
        <w:tc>
          <w:tcPr>
            <w:tcW w:w="6750" w:type="dxa"/>
            <w:gridSpan w:val="2"/>
          </w:tcPr>
          <w:p w:rsidR="007D47D3" w:rsidRDefault="007D47D3">
            <w:pPr>
              <w:jc w:val="both"/>
              <w:rPr>
                <w:rFonts w:ascii="Arial" w:hAnsi="Arial" w:cs="Arial"/>
                <w:sz w:val="22"/>
                <w:szCs w:val="22"/>
              </w:rPr>
            </w:pPr>
          </w:p>
          <w:p w:rsidR="007D47D3" w:rsidRDefault="007D47D3">
            <w:pPr>
              <w:jc w:val="both"/>
              <w:rPr>
                <w:rFonts w:ascii="Arial" w:hAnsi="Arial" w:cs="Arial"/>
                <w:sz w:val="22"/>
                <w:szCs w:val="22"/>
              </w:rPr>
            </w:pPr>
            <w:r>
              <w:rPr>
                <w:rFonts w:ascii="Arial" w:hAnsi="Arial" w:cs="Arial"/>
                <w:sz w:val="22"/>
                <w:szCs w:val="22"/>
              </w:rPr>
              <w:t>To re-elect the following Directors who retire by rotation pursuant to Article 86 of the Company’s Articles of Association:-</w:t>
            </w:r>
          </w:p>
        </w:tc>
        <w:tc>
          <w:tcPr>
            <w:tcW w:w="1710" w:type="dxa"/>
          </w:tcPr>
          <w:p w:rsidR="007D47D3" w:rsidRDefault="007D47D3">
            <w:pPr>
              <w:jc w:val="both"/>
              <w:rPr>
                <w:rFonts w:ascii="Arial" w:hAnsi="Arial" w:cs="Arial"/>
                <w:sz w:val="22"/>
                <w:szCs w:val="22"/>
              </w:rPr>
            </w:pPr>
          </w:p>
        </w:tc>
      </w:tr>
      <w:tr w:rsidR="007D47D3">
        <w:tc>
          <w:tcPr>
            <w:tcW w:w="468" w:type="dxa"/>
          </w:tcPr>
          <w:p w:rsidR="007D47D3" w:rsidRDefault="007D47D3">
            <w:pPr>
              <w:jc w:val="both"/>
              <w:rPr>
                <w:rFonts w:ascii="Arial" w:hAnsi="Arial" w:cs="Arial"/>
                <w:sz w:val="22"/>
                <w:szCs w:val="22"/>
              </w:rPr>
            </w:pPr>
            <w:r>
              <w:rPr>
                <w:rFonts w:ascii="Arial" w:hAnsi="Arial" w:cs="Arial"/>
                <w:sz w:val="22"/>
                <w:szCs w:val="22"/>
              </w:rPr>
              <w:tab/>
              <w:t xml:space="preserve"> </w:t>
            </w:r>
          </w:p>
        </w:tc>
        <w:tc>
          <w:tcPr>
            <w:tcW w:w="810" w:type="dxa"/>
          </w:tcPr>
          <w:p w:rsidR="007D47D3" w:rsidRDefault="007D47D3">
            <w:pPr>
              <w:jc w:val="both"/>
              <w:rPr>
                <w:rFonts w:ascii="Arial" w:hAnsi="Arial" w:cs="Arial"/>
                <w:sz w:val="22"/>
                <w:szCs w:val="22"/>
              </w:rPr>
            </w:pPr>
            <w:r>
              <w:rPr>
                <w:rFonts w:ascii="Arial" w:hAnsi="Arial" w:cs="Arial"/>
                <w:sz w:val="22"/>
                <w:szCs w:val="22"/>
              </w:rPr>
              <w:t>2.1</w:t>
            </w:r>
          </w:p>
          <w:p w:rsidR="007D47D3" w:rsidRDefault="007D47D3">
            <w:pPr>
              <w:jc w:val="both"/>
              <w:rPr>
                <w:rFonts w:ascii="Arial" w:hAnsi="Arial" w:cs="Arial"/>
                <w:sz w:val="22"/>
                <w:szCs w:val="22"/>
              </w:rPr>
            </w:pPr>
            <w:r>
              <w:rPr>
                <w:rFonts w:ascii="Arial" w:hAnsi="Arial" w:cs="Arial"/>
                <w:sz w:val="22"/>
                <w:szCs w:val="22"/>
              </w:rPr>
              <w:t>2.2</w:t>
            </w:r>
          </w:p>
          <w:p w:rsidR="007D47D3" w:rsidRDefault="007D47D3">
            <w:pPr>
              <w:jc w:val="both"/>
              <w:rPr>
                <w:rFonts w:ascii="Arial" w:hAnsi="Arial" w:cs="Arial"/>
                <w:sz w:val="22"/>
                <w:szCs w:val="22"/>
              </w:rPr>
            </w:pPr>
            <w:r>
              <w:rPr>
                <w:rFonts w:ascii="Arial" w:hAnsi="Arial" w:cs="Arial"/>
                <w:sz w:val="22"/>
                <w:szCs w:val="22"/>
              </w:rPr>
              <w:t>2.3</w:t>
            </w:r>
          </w:p>
        </w:tc>
        <w:tc>
          <w:tcPr>
            <w:tcW w:w="5940" w:type="dxa"/>
          </w:tcPr>
          <w:p w:rsidR="007D47D3" w:rsidRDefault="007D47D3">
            <w:pPr>
              <w:jc w:val="both"/>
              <w:rPr>
                <w:rFonts w:ascii="Arial" w:hAnsi="Arial" w:cs="Arial"/>
                <w:sz w:val="22"/>
                <w:szCs w:val="22"/>
              </w:rPr>
            </w:pPr>
            <w:r>
              <w:rPr>
                <w:rFonts w:ascii="Arial" w:hAnsi="Arial" w:cs="Arial"/>
                <w:sz w:val="22"/>
                <w:szCs w:val="22"/>
              </w:rPr>
              <w:t xml:space="preserve">Mr Fong Chu King @ Tong Chu King </w:t>
            </w:r>
          </w:p>
          <w:p w:rsidR="007D47D3" w:rsidRPr="00402887" w:rsidRDefault="007D47D3">
            <w:pPr>
              <w:jc w:val="both"/>
              <w:rPr>
                <w:rFonts w:ascii="Arial" w:hAnsi="Arial" w:cs="Arial"/>
                <w:sz w:val="22"/>
                <w:szCs w:val="22"/>
              </w:rPr>
            </w:pPr>
            <w:r>
              <w:rPr>
                <w:rFonts w:ascii="Arial" w:hAnsi="Arial" w:cs="Arial"/>
                <w:sz w:val="22"/>
                <w:szCs w:val="22"/>
              </w:rPr>
              <w:t>Ms Fang Siew Yee</w:t>
            </w:r>
          </w:p>
          <w:p w:rsidR="007D47D3" w:rsidRDefault="007D47D3">
            <w:pPr>
              <w:jc w:val="both"/>
              <w:rPr>
                <w:rFonts w:ascii="Arial" w:hAnsi="Arial" w:cs="Arial"/>
                <w:sz w:val="22"/>
                <w:szCs w:val="22"/>
              </w:rPr>
            </w:pPr>
            <w:r>
              <w:rPr>
                <w:rFonts w:ascii="Arial" w:hAnsi="Arial" w:cs="Arial"/>
                <w:sz w:val="22"/>
                <w:szCs w:val="22"/>
              </w:rPr>
              <w:t>Encik Mohd Zaki Bin Hamzah</w:t>
            </w:r>
          </w:p>
        </w:tc>
        <w:tc>
          <w:tcPr>
            <w:tcW w:w="1710" w:type="dxa"/>
          </w:tcPr>
          <w:p w:rsidR="007D47D3" w:rsidRDefault="007D47D3">
            <w:pPr>
              <w:pStyle w:val="BodyText"/>
            </w:pPr>
            <w:r>
              <w:t>(Resolution 2)</w:t>
            </w:r>
          </w:p>
          <w:p w:rsidR="007D47D3" w:rsidRDefault="007D47D3">
            <w:pPr>
              <w:pStyle w:val="BodyText"/>
            </w:pPr>
            <w:r>
              <w:t>(Resolution 3)</w:t>
            </w:r>
          </w:p>
          <w:p w:rsidR="007D47D3" w:rsidRDefault="007D47D3">
            <w:pPr>
              <w:pStyle w:val="BodyText"/>
            </w:pPr>
            <w:r>
              <w:t>(Resolution 4)</w:t>
            </w:r>
          </w:p>
        </w:tc>
      </w:tr>
      <w:tr w:rsidR="007D47D3">
        <w:tc>
          <w:tcPr>
            <w:tcW w:w="468" w:type="dxa"/>
          </w:tcPr>
          <w:p w:rsidR="007D47D3" w:rsidRDefault="007D47D3">
            <w:pPr>
              <w:jc w:val="both"/>
              <w:rPr>
                <w:rFonts w:ascii="Arial" w:hAnsi="Arial" w:cs="Arial"/>
                <w:sz w:val="22"/>
                <w:szCs w:val="22"/>
              </w:rPr>
            </w:pPr>
          </w:p>
          <w:p w:rsidR="007D47D3" w:rsidRDefault="007D47D3">
            <w:pPr>
              <w:jc w:val="both"/>
              <w:rPr>
                <w:rFonts w:ascii="Arial" w:hAnsi="Arial" w:cs="Arial"/>
                <w:sz w:val="22"/>
                <w:szCs w:val="22"/>
              </w:rPr>
            </w:pPr>
            <w:r>
              <w:rPr>
                <w:rFonts w:ascii="Arial" w:hAnsi="Arial" w:cs="Arial"/>
                <w:sz w:val="22"/>
                <w:szCs w:val="22"/>
              </w:rPr>
              <w:t>3.</w:t>
            </w:r>
          </w:p>
          <w:p w:rsidR="007D47D3" w:rsidRDefault="007D47D3">
            <w:pPr>
              <w:jc w:val="both"/>
              <w:rPr>
                <w:rFonts w:ascii="Arial" w:hAnsi="Arial" w:cs="Arial"/>
                <w:sz w:val="22"/>
                <w:szCs w:val="22"/>
              </w:rPr>
            </w:pPr>
          </w:p>
          <w:p w:rsidR="007D47D3" w:rsidRDefault="007D47D3">
            <w:pPr>
              <w:jc w:val="both"/>
              <w:rPr>
                <w:rFonts w:ascii="Arial" w:hAnsi="Arial" w:cs="Arial"/>
                <w:sz w:val="22"/>
                <w:szCs w:val="22"/>
              </w:rPr>
            </w:pPr>
          </w:p>
          <w:p w:rsidR="007D47D3" w:rsidRDefault="007D47D3">
            <w:pPr>
              <w:jc w:val="both"/>
              <w:rPr>
                <w:rFonts w:ascii="Arial" w:hAnsi="Arial" w:cs="Arial"/>
                <w:sz w:val="22"/>
                <w:szCs w:val="22"/>
              </w:rPr>
            </w:pPr>
          </w:p>
          <w:p w:rsidR="007D47D3" w:rsidRDefault="007D47D3">
            <w:pPr>
              <w:jc w:val="both"/>
              <w:rPr>
                <w:rFonts w:ascii="Arial" w:hAnsi="Arial" w:cs="Arial"/>
                <w:sz w:val="22"/>
                <w:szCs w:val="22"/>
              </w:rPr>
            </w:pPr>
          </w:p>
          <w:p w:rsidR="007D47D3" w:rsidRDefault="007D47D3">
            <w:pPr>
              <w:jc w:val="both"/>
              <w:rPr>
                <w:rFonts w:ascii="Arial" w:hAnsi="Arial" w:cs="Arial"/>
                <w:sz w:val="22"/>
                <w:szCs w:val="22"/>
              </w:rPr>
            </w:pPr>
          </w:p>
          <w:p w:rsidR="007D47D3" w:rsidRDefault="007D47D3">
            <w:pPr>
              <w:jc w:val="both"/>
              <w:rPr>
                <w:rFonts w:ascii="Arial" w:hAnsi="Arial" w:cs="Arial"/>
                <w:sz w:val="22"/>
                <w:szCs w:val="22"/>
              </w:rPr>
            </w:pPr>
          </w:p>
          <w:p w:rsidR="007D47D3" w:rsidRDefault="007D47D3">
            <w:pPr>
              <w:jc w:val="both"/>
              <w:rPr>
                <w:rFonts w:ascii="Arial" w:hAnsi="Arial" w:cs="Arial"/>
                <w:sz w:val="22"/>
                <w:szCs w:val="22"/>
              </w:rPr>
            </w:pPr>
          </w:p>
          <w:p w:rsidR="007D47D3" w:rsidRDefault="007D47D3">
            <w:pPr>
              <w:jc w:val="both"/>
              <w:rPr>
                <w:rFonts w:ascii="Arial" w:hAnsi="Arial" w:cs="Arial"/>
                <w:sz w:val="22"/>
                <w:szCs w:val="22"/>
              </w:rPr>
            </w:pPr>
          </w:p>
          <w:p w:rsidR="007D47D3" w:rsidRDefault="007D47D3">
            <w:pPr>
              <w:jc w:val="both"/>
              <w:rPr>
                <w:rFonts w:ascii="Arial" w:hAnsi="Arial" w:cs="Arial"/>
                <w:sz w:val="22"/>
                <w:szCs w:val="22"/>
              </w:rPr>
            </w:pPr>
          </w:p>
          <w:p w:rsidR="007D47D3" w:rsidRDefault="007D47D3">
            <w:pPr>
              <w:jc w:val="both"/>
              <w:rPr>
                <w:rFonts w:ascii="Arial" w:hAnsi="Arial" w:cs="Arial"/>
                <w:sz w:val="22"/>
                <w:szCs w:val="22"/>
              </w:rPr>
            </w:pPr>
          </w:p>
          <w:p w:rsidR="007D47D3" w:rsidRDefault="007D47D3">
            <w:pPr>
              <w:jc w:val="both"/>
              <w:rPr>
                <w:rFonts w:ascii="Arial" w:hAnsi="Arial" w:cs="Arial"/>
                <w:sz w:val="22"/>
                <w:szCs w:val="22"/>
              </w:rPr>
            </w:pPr>
          </w:p>
        </w:tc>
        <w:tc>
          <w:tcPr>
            <w:tcW w:w="6750" w:type="dxa"/>
            <w:gridSpan w:val="2"/>
          </w:tcPr>
          <w:p w:rsidR="007D47D3" w:rsidRDefault="007D47D3">
            <w:pPr>
              <w:pStyle w:val="BodyText"/>
              <w:tabs>
                <w:tab w:val="clear" w:pos="6840"/>
              </w:tabs>
            </w:pPr>
          </w:p>
          <w:p w:rsidR="007D47D3" w:rsidRDefault="007D47D3">
            <w:pPr>
              <w:pStyle w:val="BodyText"/>
              <w:tabs>
                <w:tab w:val="clear" w:pos="6840"/>
              </w:tabs>
            </w:pPr>
            <w:r>
              <w:t>To consider and if thought fit, pass the following Resolutions in accordance with Section 129(6) of the Companies Act 1965:-</w:t>
            </w:r>
          </w:p>
          <w:p w:rsidR="007D47D3" w:rsidRDefault="007D47D3">
            <w:pPr>
              <w:ind w:left="720" w:hanging="720"/>
              <w:jc w:val="both"/>
              <w:rPr>
                <w:rFonts w:ascii="Arial" w:hAnsi="Arial" w:cs="Arial"/>
                <w:sz w:val="22"/>
                <w:szCs w:val="22"/>
              </w:rPr>
            </w:pPr>
          </w:p>
          <w:p w:rsidR="007D47D3" w:rsidRDefault="007D47D3" w:rsidP="00CA314A">
            <w:pPr>
              <w:ind w:left="522" w:hanging="522"/>
              <w:jc w:val="both"/>
              <w:rPr>
                <w:rFonts w:ascii="Arial" w:hAnsi="Arial" w:cs="Arial"/>
                <w:sz w:val="22"/>
                <w:szCs w:val="22"/>
              </w:rPr>
            </w:pPr>
            <w:r>
              <w:rPr>
                <w:rFonts w:ascii="Arial" w:hAnsi="Arial" w:cs="Arial"/>
                <w:sz w:val="22"/>
                <w:szCs w:val="22"/>
              </w:rPr>
              <w:t>3.1  “That Mr. Foong Chiew Fatt, retiring pursuant to Section 129(6) of the Companies Act 1965, be and is hereby re-appointed a Director of the Company to hold office until the next Annual General Meeting.”</w:t>
            </w:r>
            <w:r>
              <w:rPr>
                <w:rFonts w:ascii="Arial" w:hAnsi="Arial" w:cs="Arial"/>
                <w:sz w:val="22"/>
                <w:szCs w:val="22"/>
              </w:rPr>
              <w:tab/>
            </w:r>
          </w:p>
          <w:p w:rsidR="007D47D3" w:rsidRDefault="007D47D3">
            <w:pPr>
              <w:jc w:val="both"/>
              <w:rPr>
                <w:rFonts w:ascii="Arial" w:hAnsi="Arial" w:cs="Arial"/>
                <w:sz w:val="22"/>
                <w:szCs w:val="22"/>
              </w:rPr>
            </w:pPr>
          </w:p>
          <w:p w:rsidR="007D47D3" w:rsidRDefault="007D47D3" w:rsidP="000E4A01">
            <w:pPr>
              <w:ind w:left="432" w:hanging="432"/>
              <w:jc w:val="both"/>
              <w:rPr>
                <w:rFonts w:ascii="Arial" w:hAnsi="Arial" w:cs="Arial"/>
                <w:sz w:val="22"/>
                <w:szCs w:val="22"/>
              </w:rPr>
            </w:pPr>
            <w:r>
              <w:rPr>
                <w:rFonts w:ascii="Arial" w:hAnsi="Arial" w:cs="Arial"/>
                <w:sz w:val="22"/>
                <w:szCs w:val="22"/>
              </w:rPr>
              <w:t>3.2  “That Mr. Tan Chon Sing @ Tan Kim Tieng, retiring pursuant to Section 129(6) of the Companies Act 1965, be and is hereby re-appointed a Director of the Company to hold office until the next Annual General Meeting.”</w:t>
            </w:r>
            <w:r>
              <w:rPr>
                <w:rFonts w:ascii="Arial" w:hAnsi="Arial" w:cs="Arial"/>
                <w:sz w:val="22"/>
                <w:szCs w:val="22"/>
              </w:rPr>
              <w:tab/>
            </w:r>
          </w:p>
        </w:tc>
        <w:tc>
          <w:tcPr>
            <w:tcW w:w="1710" w:type="dxa"/>
          </w:tcPr>
          <w:p w:rsidR="007D47D3" w:rsidRDefault="007D47D3">
            <w:pPr>
              <w:jc w:val="both"/>
              <w:rPr>
                <w:rFonts w:ascii="Arial" w:hAnsi="Arial" w:cs="Arial"/>
                <w:sz w:val="22"/>
                <w:szCs w:val="22"/>
              </w:rPr>
            </w:pPr>
          </w:p>
          <w:p w:rsidR="007D47D3" w:rsidRDefault="007D47D3">
            <w:pPr>
              <w:jc w:val="both"/>
              <w:rPr>
                <w:rFonts w:ascii="Arial" w:hAnsi="Arial" w:cs="Arial"/>
                <w:sz w:val="22"/>
                <w:szCs w:val="22"/>
              </w:rPr>
            </w:pPr>
          </w:p>
          <w:p w:rsidR="007D47D3" w:rsidRDefault="007D47D3">
            <w:pPr>
              <w:jc w:val="both"/>
              <w:rPr>
                <w:rFonts w:ascii="Arial" w:hAnsi="Arial" w:cs="Arial"/>
                <w:sz w:val="22"/>
                <w:szCs w:val="22"/>
              </w:rPr>
            </w:pPr>
          </w:p>
          <w:p w:rsidR="007D47D3" w:rsidRDefault="007D47D3">
            <w:pPr>
              <w:jc w:val="both"/>
              <w:rPr>
                <w:rFonts w:ascii="Arial" w:hAnsi="Arial" w:cs="Arial"/>
                <w:sz w:val="22"/>
                <w:szCs w:val="22"/>
              </w:rPr>
            </w:pPr>
          </w:p>
          <w:p w:rsidR="007D47D3" w:rsidRDefault="007D47D3">
            <w:pPr>
              <w:jc w:val="both"/>
              <w:rPr>
                <w:rFonts w:ascii="Arial" w:hAnsi="Arial" w:cs="Arial"/>
                <w:sz w:val="22"/>
                <w:szCs w:val="22"/>
              </w:rPr>
            </w:pPr>
            <w:r>
              <w:rPr>
                <w:rFonts w:ascii="Arial" w:hAnsi="Arial" w:cs="Arial"/>
                <w:sz w:val="22"/>
                <w:szCs w:val="22"/>
              </w:rPr>
              <w:t>(Resolution 5)</w:t>
            </w:r>
          </w:p>
          <w:p w:rsidR="007D47D3" w:rsidRDefault="007D47D3">
            <w:pPr>
              <w:jc w:val="both"/>
              <w:rPr>
                <w:rFonts w:ascii="Arial" w:hAnsi="Arial" w:cs="Arial"/>
                <w:sz w:val="22"/>
                <w:szCs w:val="22"/>
              </w:rPr>
            </w:pPr>
          </w:p>
          <w:p w:rsidR="007D47D3" w:rsidRDefault="007D47D3">
            <w:pPr>
              <w:jc w:val="both"/>
              <w:rPr>
                <w:rFonts w:ascii="Arial" w:hAnsi="Arial" w:cs="Arial"/>
                <w:sz w:val="22"/>
                <w:szCs w:val="22"/>
              </w:rPr>
            </w:pPr>
          </w:p>
          <w:p w:rsidR="007D47D3" w:rsidRDefault="007D47D3">
            <w:pPr>
              <w:jc w:val="both"/>
              <w:rPr>
                <w:rFonts w:ascii="Arial" w:hAnsi="Arial" w:cs="Arial"/>
                <w:sz w:val="22"/>
                <w:szCs w:val="22"/>
              </w:rPr>
            </w:pPr>
          </w:p>
          <w:p w:rsidR="007D47D3" w:rsidRDefault="007D47D3">
            <w:pPr>
              <w:jc w:val="both"/>
              <w:rPr>
                <w:rFonts w:ascii="Arial" w:hAnsi="Arial" w:cs="Arial"/>
                <w:sz w:val="22"/>
                <w:szCs w:val="22"/>
              </w:rPr>
            </w:pPr>
          </w:p>
          <w:p w:rsidR="007D47D3" w:rsidRDefault="007D47D3">
            <w:pPr>
              <w:jc w:val="both"/>
              <w:rPr>
                <w:rFonts w:ascii="Arial" w:hAnsi="Arial" w:cs="Arial"/>
                <w:sz w:val="22"/>
                <w:szCs w:val="22"/>
              </w:rPr>
            </w:pPr>
            <w:r>
              <w:rPr>
                <w:rFonts w:ascii="Arial" w:hAnsi="Arial" w:cs="Arial"/>
                <w:sz w:val="22"/>
                <w:szCs w:val="22"/>
              </w:rPr>
              <w:t>(Resolution 6)</w:t>
            </w:r>
          </w:p>
          <w:p w:rsidR="007D47D3" w:rsidRDefault="007D47D3">
            <w:pPr>
              <w:jc w:val="both"/>
              <w:rPr>
                <w:rFonts w:ascii="Arial" w:hAnsi="Arial" w:cs="Arial"/>
                <w:sz w:val="22"/>
                <w:szCs w:val="22"/>
              </w:rPr>
            </w:pPr>
          </w:p>
          <w:p w:rsidR="007D47D3" w:rsidRDefault="007D47D3">
            <w:pPr>
              <w:jc w:val="both"/>
              <w:rPr>
                <w:rFonts w:ascii="Arial" w:hAnsi="Arial" w:cs="Arial"/>
                <w:sz w:val="22"/>
                <w:szCs w:val="22"/>
              </w:rPr>
            </w:pPr>
          </w:p>
          <w:p w:rsidR="007D47D3" w:rsidRDefault="007D47D3">
            <w:pPr>
              <w:jc w:val="both"/>
              <w:rPr>
                <w:rFonts w:ascii="Arial" w:hAnsi="Arial" w:cs="Arial"/>
                <w:sz w:val="22"/>
                <w:szCs w:val="22"/>
              </w:rPr>
            </w:pPr>
          </w:p>
          <w:p w:rsidR="007D47D3" w:rsidRDefault="007D47D3">
            <w:pPr>
              <w:jc w:val="both"/>
              <w:rPr>
                <w:rFonts w:ascii="Arial" w:hAnsi="Arial" w:cs="Arial"/>
                <w:sz w:val="22"/>
                <w:szCs w:val="22"/>
              </w:rPr>
            </w:pPr>
          </w:p>
        </w:tc>
      </w:tr>
      <w:tr w:rsidR="007D47D3">
        <w:tc>
          <w:tcPr>
            <w:tcW w:w="468" w:type="dxa"/>
          </w:tcPr>
          <w:p w:rsidR="007D47D3" w:rsidRDefault="007D47D3">
            <w:pPr>
              <w:jc w:val="both"/>
              <w:rPr>
                <w:rFonts w:ascii="Arial" w:hAnsi="Arial" w:cs="Arial"/>
                <w:sz w:val="22"/>
                <w:szCs w:val="22"/>
              </w:rPr>
            </w:pPr>
          </w:p>
          <w:p w:rsidR="007D47D3" w:rsidRDefault="007D47D3">
            <w:pPr>
              <w:jc w:val="both"/>
              <w:rPr>
                <w:rFonts w:ascii="Arial" w:hAnsi="Arial" w:cs="Arial"/>
                <w:sz w:val="22"/>
                <w:szCs w:val="22"/>
              </w:rPr>
            </w:pPr>
            <w:r>
              <w:rPr>
                <w:rFonts w:ascii="Arial" w:hAnsi="Arial" w:cs="Arial"/>
                <w:sz w:val="22"/>
                <w:szCs w:val="22"/>
              </w:rPr>
              <w:t>4</w:t>
            </w:r>
          </w:p>
        </w:tc>
        <w:tc>
          <w:tcPr>
            <w:tcW w:w="6750" w:type="dxa"/>
            <w:gridSpan w:val="2"/>
          </w:tcPr>
          <w:p w:rsidR="007D47D3" w:rsidRDefault="007D47D3">
            <w:pPr>
              <w:pStyle w:val="BodyText"/>
              <w:tabs>
                <w:tab w:val="clear" w:pos="6840"/>
              </w:tabs>
            </w:pPr>
          </w:p>
          <w:p w:rsidR="007D47D3" w:rsidRDefault="007D47D3">
            <w:pPr>
              <w:pStyle w:val="BodyText"/>
              <w:tabs>
                <w:tab w:val="clear" w:pos="6840"/>
              </w:tabs>
            </w:pPr>
            <w:r>
              <w:t>To re-elect the retiring Director Ms Sun Yi-Ling who retire pursuant to Article 93 of the Articles of Association of the Company</w:t>
            </w:r>
          </w:p>
        </w:tc>
        <w:tc>
          <w:tcPr>
            <w:tcW w:w="1710" w:type="dxa"/>
          </w:tcPr>
          <w:p w:rsidR="007D47D3" w:rsidRDefault="007D47D3">
            <w:pPr>
              <w:jc w:val="both"/>
              <w:rPr>
                <w:rFonts w:ascii="Arial" w:hAnsi="Arial" w:cs="Arial"/>
                <w:sz w:val="22"/>
                <w:szCs w:val="22"/>
              </w:rPr>
            </w:pPr>
          </w:p>
          <w:p w:rsidR="007D47D3" w:rsidRDefault="007D47D3">
            <w:pPr>
              <w:jc w:val="both"/>
              <w:rPr>
                <w:rFonts w:ascii="Arial" w:hAnsi="Arial" w:cs="Arial"/>
                <w:sz w:val="22"/>
                <w:szCs w:val="22"/>
              </w:rPr>
            </w:pPr>
            <w:r>
              <w:rPr>
                <w:rFonts w:ascii="Arial" w:hAnsi="Arial" w:cs="Arial"/>
                <w:sz w:val="22"/>
                <w:szCs w:val="22"/>
              </w:rPr>
              <w:t>(Resolution 7)</w:t>
            </w:r>
          </w:p>
          <w:p w:rsidR="007D47D3" w:rsidRDefault="007D47D3">
            <w:pPr>
              <w:jc w:val="both"/>
              <w:rPr>
                <w:rFonts w:ascii="Arial" w:hAnsi="Arial" w:cs="Arial"/>
                <w:sz w:val="22"/>
                <w:szCs w:val="22"/>
              </w:rPr>
            </w:pPr>
          </w:p>
          <w:p w:rsidR="007D47D3" w:rsidRDefault="007D47D3">
            <w:pPr>
              <w:jc w:val="both"/>
              <w:rPr>
                <w:rFonts w:ascii="Arial" w:hAnsi="Arial" w:cs="Arial"/>
                <w:sz w:val="22"/>
                <w:szCs w:val="22"/>
              </w:rPr>
            </w:pPr>
          </w:p>
        </w:tc>
      </w:tr>
      <w:tr w:rsidR="007D47D3">
        <w:tc>
          <w:tcPr>
            <w:tcW w:w="468" w:type="dxa"/>
          </w:tcPr>
          <w:p w:rsidR="007D47D3" w:rsidRDefault="007D47D3">
            <w:pPr>
              <w:jc w:val="both"/>
              <w:rPr>
                <w:rFonts w:ascii="Arial" w:hAnsi="Arial" w:cs="Arial"/>
                <w:sz w:val="22"/>
                <w:szCs w:val="22"/>
              </w:rPr>
            </w:pPr>
            <w:r>
              <w:rPr>
                <w:rFonts w:ascii="Arial" w:hAnsi="Arial" w:cs="Arial"/>
                <w:sz w:val="22"/>
                <w:szCs w:val="22"/>
              </w:rPr>
              <w:t>5.</w:t>
            </w:r>
          </w:p>
          <w:p w:rsidR="007D47D3" w:rsidRDefault="007D47D3">
            <w:pPr>
              <w:jc w:val="both"/>
              <w:rPr>
                <w:rFonts w:ascii="Arial" w:hAnsi="Arial" w:cs="Arial"/>
                <w:sz w:val="22"/>
                <w:szCs w:val="22"/>
              </w:rPr>
            </w:pPr>
          </w:p>
        </w:tc>
        <w:tc>
          <w:tcPr>
            <w:tcW w:w="6750" w:type="dxa"/>
            <w:gridSpan w:val="2"/>
          </w:tcPr>
          <w:p w:rsidR="007D47D3" w:rsidRDefault="007D47D3">
            <w:pPr>
              <w:jc w:val="both"/>
              <w:rPr>
                <w:rFonts w:ascii="Arial" w:hAnsi="Arial" w:cs="Arial"/>
                <w:sz w:val="22"/>
                <w:szCs w:val="22"/>
              </w:rPr>
            </w:pPr>
            <w:r>
              <w:rPr>
                <w:rFonts w:ascii="Arial" w:hAnsi="Arial" w:cs="Arial"/>
                <w:sz w:val="22"/>
                <w:szCs w:val="22"/>
              </w:rPr>
              <w:t>To re-appoint Messrs. Ernst &amp; Young as Auditors and to authorize the Directors to fix their remuneration.</w:t>
            </w:r>
          </w:p>
          <w:p w:rsidR="007D47D3" w:rsidRDefault="007D47D3">
            <w:pPr>
              <w:jc w:val="both"/>
              <w:rPr>
                <w:rFonts w:ascii="Arial" w:hAnsi="Arial" w:cs="Arial"/>
                <w:sz w:val="22"/>
                <w:szCs w:val="22"/>
              </w:rPr>
            </w:pPr>
            <w:r>
              <w:rPr>
                <w:rFonts w:ascii="Arial" w:hAnsi="Arial" w:cs="Arial"/>
                <w:sz w:val="22"/>
                <w:szCs w:val="22"/>
              </w:rPr>
              <w:tab/>
            </w:r>
          </w:p>
        </w:tc>
        <w:tc>
          <w:tcPr>
            <w:tcW w:w="1710" w:type="dxa"/>
          </w:tcPr>
          <w:p w:rsidR="007D47D3" w:rsidRDefault="007D47D3">
            <w:pPr>
              <w:jc w:val="both"/>
              <w:rPr>
                <w:rFonts w:ascii="Arial" w:hAnsi="Arial" w:cs="Arial"/>
                <w:sz w:val="22"/>
                <w:szCs w:val="22"/>
              </w:rPr>
            </w:pPr>
            <w:r>
              <w:rPr>
                <w:rFonts w:ascii="Arial" w:hAnsi="Arial" w:cs="Arial"/>
                <w:sz w:val="22"/>
                <w:szCs w:val="22"/>
              </w:rPr>
              <w:t>(Resolution 8)</w:t>
            </w:r>
          </w:p>
        </w:tc>
      </w:tr>
      <w:tr w:rsidR="007D47D3">
        <w:tc>
          <w:tcPr>
            <w:tcW w:w="468" w:type="dxa"/>
          </w:tcPr>
          <w:p w:rsidR="007D47D3" w:rsidRDefault="007D47D3">
            <w:pPr>
              <w:jc w:val="both"/>
              <w:rPr>
                <w:rFonts w:ascii="Arial" w:hAnsi="Arial" w:cs="Arial"/>
                <w:sz w:val="22"/>
                <w:szCs w:val="22"/>
              </w:rPr>
            </w:pPr>
            <w:r>
              <w:rPr>
                <w:rFonts w:ascii="Arial" w:hAnsi="Arial" w:cs="Arial"/>
                <w:sz w:val="22"/>
                <w:szCs w:val="22"/>
              </w:rPr>
              <w:t>6.</w:t>
            </w:r>
          </w:p>
          <w:p w:rsidR="007D47D3" w:rsidRDefault="007D47D3">
            <w:pPr>
              <w:jc w:val="both"/>
              <w:rPr>
                <w:rFonts w:ascii="Arial" w:hAnsi="Arial" w:cs="Arial"/>
                <w:sz w:val="22"/>
                <w:szCs w:val="22"/>
              </w:rPr>
            </w:pPr>
          </w:p>
        </w:tc>
        <w:tc>
          <w:tcPr>
            <w:tcW w:w="6750" w:type="dxa"/>
            <w:gridSpan w:val="2"/>
          </w:tcPr>
          <w:p w:rsidR="007D47D3" w:rsidRDefault="007D47D3">
            <w:pPr>
              <w:pStyle w:val="BodyText"/>
              <w:tabs>
                <w:tab w:val="clear" w:pos="6840"/>
              </w:tabs>
            </w:pPr>
            <w:r>
              <w:t>As special business, to consider and if thought fit, to pass the following resolutions:-</w:t>
            </w:r>
          </w:p>
          <w:p w:rsidR="007D47D3" w:rsidRDefault="007D47D3">
            <w:pPr>
              <w:jc w:val="both"/>
              <w:rPr>
                <w:rFonts w:ascii="Arial" w:hAnsi="Arial" w:cs="Arial"/>
                <w:sz w:val="22"/>
                <w:szCs w:val="22"/>
              </w:rPr>
            </w:pPr>
          </w:p>
          <w:p w:rsidR="007D47D3" w:rsidRDefault="007D47D3">
            <w:pPr>
              <w:tabs>
                <w:tab w:val="left" w:pos="432"/>
              </w:tabs>
              <w:jc w:val="both"/>
              <w:rPr>
                <w:rFonts w:ascii="Arial" w:hAnsi="Arial" w:cs="Arial"/>
                <w:sz w:val="22"/>
                <w:szCs w:val="22"/>
              </w:rPr>
            </w:pPr>
            <w:r>
              <w:rPr>
                <w:rFonts w:ascii="Arial" w:hAnsi="Arial" w:cs="Arial"/>
                <w:sz w:val="22"/>
                <w:szCs w:val="22"/>
              </w:rPr>
              <w:t>5.1</w:t>
            </w:r>
            <w:r>
              <w:rPr>
                <w:rFonts w:ascii="Arial" w:hAnsi="Arial" w:cs="Arial"/>
                <w:sz w:val="22"/>
                <w:szCs w:val="22"/>
              </w:rPr>
              <w:tab/>
            </w:r>
            <w:r>
              <w:rPr>
                <w:rFonts w:ascii="Arial" w:hAnsi="Arial" w:cs="Arial"/>
                <w:b/>
                <w:bCs/>
                <w:sz w:val="22"/>
                <w:szCs w:val="22"/>
              </w:rPr>
              <w:t>As Ordinary Resolution</w:t>
            </w:r>
            <w:r>
              <w:rPr>
                <w:rFonts w:ascii="Arial" w:hAnsi="Arial" w:cs="Arial"/>
                <w:sz w:val="22"/>
                <w:szCs w:val="22"/>
              </w:rPr>
              <w:t xml:space="preserve"> -</w:t>
            </w:r>
          </w:p>
          <w:p w:rsidR="007D47D3" w:rsidRDefault="007D47D3">
            <w:pPr>
              <w:ind w:firstLine="432"/>
              <w:jc w:val="both"/>
              <w:rPr>
                <w:rFonts w:ascii="Arial" w:hAnsi="Arial" w:cs="Arial"/>
                <w:sz w:val="22"/>
                <w:szCs w:val="22"/>
              </w:rPr>
            </w:pPr>
            <w:r>
              <w:rPr>
                <w:rFonts w:ascii="Arial" w:hAnsi="Arial" w:cs="Arial"/>
                <w:sz w:val="22"/>
                <w:szCs w:val="22"/>
              </w:rPr>
              <w:t>Authority to Directors to Allot and Issue Shares</w:t>
            </w:r>
          </w:p>
          <w:p w:rsidR="007D47D3" w:rsidRDefault="007D47D3">
            <w:pPr>
              <w:ind w:left="432" w:hanging="432"/>
              <w:jc w:val="both"/>
              <w:rPr>
                <w:rFonts w:ascii="Arial" w:hAnsi="Arial" w:cs="Arial"/>
                <w:sz w:val="22"/>
                <w:szCs w:val="22"/>
                <w:u w:val="single"/>
              </w:rPr>
            </w:pPr>
            <w:r>
              <w:rPr>
                <w:rFonts w:ascii="Arial" w:hAnsi="Arial" w:cs="Arial"/>
                <w:sz w:val="22"/>
                <w:szCs w:val="22"/>
              </w:rPr>
              <w:tab/>
            </w:r>
            <w:r>
              <w:rPr>
                <w:rFonts w:ascii="Arial" w:hAnsi="Arial" w:cs="Arial"/>
                <w:sz w:val="22"/>
                <w:szCs w:val="22"/>
                <w:u w:val="single"/>
              </w:rPr>
              <w:t>Pursuant to Section 132 D of the Companies Act 1965</w:t>
            </w:r>
          </w:p>
          <w:p w:rsidR="007D47D3" w:rsidRDefault="007D47D3">
            <w:pPr>
              <w:ind w:left="720" w:hanging="720"/>
              <w:jc w:val="both"/>
              <w:rPr>
                <w:rFonts w:ascii="Arial" w:hAnsi="Arial" w:cs="Arial"/>
                <w:sz w:val="22"/>
                <w:szCs w:val="22"/>
              </w:rPr>
            </w:pPr>
          </w:p>
          <w:p w:rsidR="007D47D3" w:rsidRDefault="007D47D3">
            <w:pPr>
              <w:pStyle w:val="BodyText2"/>
            </w:pPr>
            <w:r>
              <w:t xml:space="preserve">“That subject to the approvals of the relevant authorities, the Directors be and are hereby authorised pursuant to Section 132 D of the Companies Act 1965 to allot and issue new ordinary shares of RM0.20 in the Company at any time and upon such terms and conditions and for such purposes as the Directors, in their absolute discretion, deem fit, provided that the aggregate number of shares to be issued pursuant to this resolution in any one financial year does not exceed 10% of the issued share capital of the Company for the time being and that the Directors be and are also empowered to obtain the approval for the listing and quotation of the additional shares so issued on the Bursa Malaysia Securities Berhad and that such authority shall continue to be in force until the conclusion of the next Annual General Meeting of the Company.” </w:t>
            </w:r>
            <w:r>
              <w:tab/>
              <w:t xml:space="preserve">                                              </w:t>
            </w:r>
          </w:p>
          <w:p w:rsidR="007D47D3" w:rsidRDefault="007D47D3">
            <w:pPr>
              <w:jc w:val="both"/>
              <w:rPr>
                <w:rFonts w:ascii="Arial" w:hAnsi="Arial" w:cs="Arial"/>
                <w:sz w:val="22"/>
                <w:szCs w:val="22"/>
              </w:rPr>
            </w:pPr>
            <w:r>
              <w:rPr>
                <w:rFonts w:ascii="Arial" w:hAnsi="Arial" w:cs="Arial"/>
                <w:sz w:val="22"/>
                <w:szCs w:val="22"/>
              </w:rPr>
              <w:t xml:space="preserve">                                                                                         </w:t>
            </w:r>
          </w:p>
        </w:tc>
        <w:tc>
          <w:tcPr>
            <w:tcW w:w="1710" w:type="dxa"/>
          </w:tcPr>
          <w:p w:rsidR="007D47D3" w:rsidRDefault="007D47D3">
            <w:pPr>
              <w:jc w:val="both"/>
              <w:rPr>
                <w:rFonts w:ascii="Arial" w:hAnsi="Arial" w:cs="Arial"/>
                <w:sz w:val="22"/>
                <w:szCs w:val="22"/>
              </w:rPr>
            </w:pPr>
          </w:p>
          <w:p w:rsidR="007D47D3" w:rsidRDefault="007D47D3">
            <w:pPr>
              <w:jc w:val="both"/>
              <w:rPr>
                <w:rFonts w:ascii="Arial" w:hAnsi="Arial" w:cs="Arial"/>
                <w:sz w:val="22"/>
                <w:szCs w:val="22"/>
              </w:rPr>
            </w:pPr>
          </w:p>
          <w:p w:rsidR="007D47D3" w:rsidRDefault="007D47D3">
            <w:pPr>
              <w:jc w:val="both"/>
              <w:rPr>
                <w:rFonts w:ascii="Arial" w:hAnsi="Arial" w:cs="Arial"/>
                <w:sz w:val="22"/>
                <w:szCs w:val="22"/>
              </w:rPr>
            </w:pPr>
          </w:p>
          <w:p w:rsidR="007D47D3" w:rsidRDefault="007D47D3">
            <w:pPr>
              <w:jc w:val="both"/>
              <w:rPr>
                <w:rFonts w:ascii="Arial" w:hAnsi="Arial" w:cs="Arial"/>
                <w:sz w:val="22"/>
                <w:szCs w:val="22"/>
              </w:rPr>
            </w:pPr>
          </w:p>
          <w:p w:rsidR="007D47D3" w:rsidRDefault="007D47D3">
            <w:pPr>
              <w:jc w:val="both"/>
              <w:rPr>
                <w:rFonts w:ascii="Arial" w:hAnsi="Arial" w:cs="Arial"/>
                <w:sz w:val="22"/>
                <w:szCs w:val="22"/>
              </w:rPr>
            </w:pPr>
          </w:p>
          <w:p w:rsidR="007D47D3" w:rsidRDefault="007D47D3">
            <w:pPr>
              <w:jc w:val="both"/>
              <w:rPr>
                <w:rFonts w:ascii="Arial" w:hAnsi="Arial" w:cs="Arial"/>
                <w:sz w:val="22"/>
                <w:szCs w:val="22"/>
              </w:rPr>
            </w:pPr>
          </w:p>
          <w:p w:rsidR="007D47D3" w:rsidRDefault="007D47D3">
            <w:pPr>
              <w:jc w:val="both"/>
              <w:rPr>
                <w:rFonts w:ascii="Arial" w:hAnsi="Arial" w:cs="Arial"/>
                <w:sz w:val="22"/>
                <w:szCs w:val="22"/>
              </w:rPr>
            </w:pPr>
          </w:p>
          <w:p w:rsidR="007D47D3" w:rsidRDefault="007D47D3">
            <w:pPr>
              <w:jc w:val="both"/>
              <w:rPr>
                <w:rFonts w:ascii="Arial" w:hAnsi="Arial" w:cs="Arial"/>
                <w:sz w:val="22"/>
                <w:szCs w:val="22"/>
              </w:rPr>
            </w:pPr>
          </w:p>
          <w:p w:rsidR="007D47D3" w:rsidRDefault="007D47D3">
            <w:pPr>
              <w:jc w:val="both"/>
              <w:rPr>
                <w:rFonts w:ascii="Arial" w:hAnsi="Arial" w:cs="Arial"/>
                <w:sz w:val="22"/>
                <w:szCs w:val="22"/>
              </w:rPr>
            </w:pPr>
          </w:p>
          <w:p w:rsidR="007D47D3" w:rsidRDefault="007D47D3">
            <w:pPr>
              <w:jc w:val="both"/>
              <w:rPr>
                <w:rFonts w:ascii="Arial" w:hAnsi="Arial" w:cs="Arial"/>
                <w:sz w:val="22"/>
                <w:szCs w:val="22"/>
              </w:rPr>
            </w:pPr>
          </w:p>
          <w:p w:rsidR="007D47D3" w:rsidRDefault="007D47D3">
            <w:pPr>
              <w:jc w:val="both"/>
              <w:rPr>
                <w:rFonts w:ascii="Arial" w:hAnsi="Arial" w:cs="Arial"/>
                <w:sz w:val="22"/>
                <w:szCs w:val="22"/>
              </w:rPr>
            </w:pPr>
          </w:p>
          <w:p w:rsidR="007D47D3" w:rsidRDefault="007D47D3">
            <w:pPr>
              <w:jc w:val="both"/>
              <w:rPr>
                <w:rFonts w:ascii="Arial" w:hAnsi="Arial" w:cs="Arial"/>
                <w:sz w:val="22"/>
                <w:szCs w:val="22"/>
              </w:rPr>
            </w:pPr>
          </w:p>
          <w:p w:rsidR="007D47D3" w:rsidRDefault="007D47D3">
            <w:pPr>
              <w:jc w:val="both"/>
              <w:rPr>
                <w:rFonts w:ascii="Arial" w:hAnsi="Arial" w:cs="Arial"/>
                <w:sz w:val="22"/>
                <w:szCs w:val="22"/>
              </w:rPr>
            </w:pPr>
          </w:p>
          <w:p w:rsidR="007D47D3" w:rsidRDefault="007D47D3">
            <w:pPr>
              <w:jc w:val="both"/>
              <w:rPr>
                <w:rFonts w:ascii="Arial" w:hAnsi="Arial" w:cs="Arial"/>
                <w:sz w:val="22"/>
                <w:szCs w:val="22"/>
              </w:rPr>
            </w:pPr>
          </w:p>
          <w:p w:rsidR="007D47D3" w:rsidRDefault="007D47D3">
            <w:pPr>
              <w:jc w:val="both"/>
              <w:rPr>
                <w:rFonts w:ascii="Arial" w:hAnsi="Arial" w:cs="Arial"/>
                <w:sz w:val="22"/>
                <w:szCs w:val="22"/>
              </w:rPr>
            </w:pPr>
          </w:p>
          <w:p w:rsidR="007D47D3" w:rsidRDefault="007D47D3">
            <w:pPr>
              <w:jc w:val="both"/>
              <w:rPr>
                <w:rFonts w:ascii="Arial" w:hAnsi="Arial" w:cs="Arial"/>
                <w:sz w:val="22"/>
                <w:szCs w:val="22"/>
              </w:rPr>
            </w:pPr>
          </w:p>
          <w:p w:rsidR="007D47D3" w:rsidRDefault="007D47D3">
            <w:pPr>
              <w:jc w:val="both"/>
              <w:rPr>
                <w:rFonts w:ascii="Arial" w:hAnsi="Arial" w:cs="Arial"/>
                <w:sz w:val="22"/>
                <w:szCs w:val="22"/>
              </w:rPr>
            </w:pPr>
          </w:p>
          <w:p w:rsidR="007D47D3" w:rsidRDefault="007D47D3">
            <w:pPr>
              <w:jc w:val="both"/>
              <w:rPr>
                <w:rFonts w:ascii="Arial" w:hAnsi="Arial" w:cs="Arial"/>
                <w:sz w:val="22"/>
                <w:szCs w:val="22"/>
              </w:rPr>
            </w:pPr>
          </w:p>
          <w:p w:rsidR="007D47D3" w:rsidRDefault="007D47D3">
            <w:pPr>
              <w:jc w:val="both"/>
              <w:rPr>
                <w:rFonts w:ascii="Arial" w:hAnsi="Arial" w:cs="Arial"/>
                <w:sz w:val="22"/>
                <w:szCs w:val="22"/>
              </w:rPr>
            </w:pPr>
          </w:p>
          <w:p w:rsidR="007D47D3" w:rsidRDefault="007D47D3">
            <w:pPr>
              <w:jc w:val="both"/>
              <w:rPr>
                <w:rFonts w:ascii="Arial" w:hAnsi="Arial" w:cs="Arial"/>
                <w:sz w:val="22"/>
                <w:szCs w:val="22"/>
              </w:rPr>
            </w:pPr>
          </w:p>
          <w:p w:rsidR="007D47D3" w:rsidRDefault="007D47D3">
            <w:pPr>
              <w:jc w:val="both"/>
              <w:rPr>
                <w:rFonts w:ascii="Arial" w:hAnsi="Arial" w:cs="Arial"/>
                <w:sz w:val="22"/>
                <w:szCs w:val="22"/>
              </w:rPr>
            </w:pPr>
          </w:p>
          <w:p w:rsidR="007D47D3" w:rsidRDefault="007D47D3">
            <w:pPr>
              <w:jc w:val="both"/>
              <w:rPr>
                <w:rFonts w:ascii="Arial" w:hAnsi="Arial" w:cs="Arial"/>
                <w:sz w:val="22"/>
                <w:szCs w:val="22"/>
              </w:rPr>
            </w:pPr>
            <w:r>
              <w:rPr>
                <w:rFonts w:ascii="Arial" w:hAnsi="Arial" w:cs="Arial"/>
                <w:sz w:val="22"/>
                <w:szCs w:val="22"/>
              </w:rPr>
              <w:t>(Resolution 9)</w:t>
            </w:r>
          </w:p>
        </w:tc>
      </w:tr>
      <w:tr w:rsidR="007D47D3" w:rsidRPr="00297B8A">
        <w:tc>
          <w:tcPr>
            <w:tcW w:w="468" w:type="dxa"/>
          </w:tcPr>
          <w:p w:rsidR="007D47D3" w:rsidRPr="00297B8A" w:rsidRDefault="007D47D3" w:rsidP="00DD4D64">
            <w:pPr>
              <w:rPr>
                <w:rFonts w:ascii="Arial" w:hAnsi="Arial" w:cs="Arial"/>
                <w:sz w:val="22"/>
                <w:szCs w:val="22"/>
              </w:rPr>
            </w:pPr>
            <w:r>
              <w:rPr>
                <w:rFonts w:ascii="Arial" w:hAnsi="Arial" w:cs="Arial"/>
                <w:sz w:val="22"/>
                <w:szCs w:val="22"/>
              </w:rPr>
              <w:t>7</w:t>
            </w:r>
            <w:r w:rsidRPr="00297B8A">
              <w:rPr>
                <w:rFonts w:ascii="Arial" w:hAnsi="Arial" w:cs="Arial"/>
                <w:sz w:val="22"/>
                <w:szCs w:val="22"/>
              </w:rPr>
              <w:t>.</w:t>
            </w:r>
          </w:p>
        </w:tc>
        <w:tc>
          <w:tcPr>
            <w:tcW w:w="6750" w:type="dxa"/>
            <w:gridSpan w:val="2"/>
          </w:tcPr>
          <w:p w:rsidR="007D47D3" w:rsidRPr="00297B8A" w:rsidRDefault="007D47D3">
            <w:pPr>
              <w:jc w:val="both"/>
              <w:rPr>
                <w:rFonts w:ascii="Arial" w:hAnsi="Arial" w:cs="Arial"/>
                <w:sz w:val="22"/>
                <w:szCs w:val="22"/>
              </w:rPr>
            </w:pPr>
            <w:r w:rsidRPr="00297B8A">
              <w:rPr>
                <w:rFonts w:ascii="Arial" w:hAnsi="Arial" w:cs="Arial"/>
                <w:sz w:val="22"/>
                <w:szCs w:val="22"/>
              </w:rPr>
              <w:t xml:space="preserve">Proposed Renewal of </w:t>
            </w:r>
            <w:r>
              <w:rPr>
                <w:rFonts w:ascii="Arial" w:hAnsi="Arial" w:cs="Arial"/>
                <w:sz w:val="22"/>
                <w:szCs w:val="22"/>
              </w:rPr>
              <w:t xml:space="preserve">Existing </w:t>
            </w:r>
            <w:r w:rsidRPr="00297B8A">
              <w:rPr>
                <w:rFonts w:ascii="Arial" w:hAnsi="Arial" w:cs="Arial"/>
                <w:sz w:val="22"/>
                <w:szCs w:val="22"/>
              </w:rPr>
              <w:t xml:space="preserve">Shareholders’ Mandate for Recurrent Related Party Transactions of a Revenue or Trading Nature and Proposed New Shareholders’ Mandate for Additional Recurrent Related Party Transactions of a Revenue or Trading Nature </w:t>
            </w:r>
          </w:p>
          <w:p w:rsidR="007D47D3" w:rsidRPr="00297B8A" w:rsidRDefault="007D47D3">
            <w:pPr>
              <w:jc w:val="both"/>
              <w:rPr>
                <w:rFonts w:ascii="Arial" w:hAnsi="Arial" w:cs="Arial"/>
                <w:sz w:val="22"/>
                <w:szCs w:val="22"/>
              </w:rPr>
            </w:pPr>
          </w:p>
          <w:p w:rsidR="007D47D3" w:rsidRPr="00297B8A" w:rsidRDefault="007D47D3">
            <w:pPr>
              <w:jc w:val="both"/>
              <w:rPr>
                <w:rFonts w:ascii="Arial" w:hAnsi="Arial" w:cs="Arial"/>
                <w:sz w:val="22"/>
                <w:szCs w:val="22"/>
              </w:rPr>
            </w:pPr>
            <w:r w:rsidRPr="00297B8A">
              <w:rPr>
                <w:rFonts w:ascii="Arial" w:hAnsi="Arial" w:cs="Arial"/>
                <w:sz w:val="22"/>
                <w:szCs w:val="22"/>
              </w:rPr>
              <w:t xml:space="preserve">“THAT, subject always to the Listing Requirements of the Bursa Malaysia Securities Berhad, the Company and its subsidiaries (“Three-A Group”) is hereby authorised to enter or transact all recurrent related party transactions of a revenue and trading nature which are necessary for the day to day operations of the Three-A Group from time to time, the nature and the contracting parties are set out in a table under Section </w:t>
            </w:r>
            <w:r>
              <w:rPr>
                <w:rFonts w:ascii="Arial" w:hAnsi="Arial" w:cs="Arial"/>
                <w:sz w:val="22"/>
                <w:szCs w:val="22"/>
              </w:rPr>
              <w:t>2.4</w:t>
            </w:r>
            <w:r w:rsidRPr="00297B8A">
              <w:rPr>
                <w:rFonts w:ascii="Arial" w:hAnsi="Arial" w:cs="Arial"/>
                <w:sz w:val="22"/>
                <w:szCs w:val="22"/>
              </w:rPr>
              <w:t xml:space="preserve"> of the </w:t>
            </w:r>
            <w:r>
              <w:rPr>
                <w:rFonts w:ascii="Arial" w:hAnsi="Arial" w:cs="Arial"/>
                <w:sz w:val="22"/>
                <w:szCs w:val="22"/>
              </w:rPr>
              <w:t xml:space="preserve">Circular to Shareholders dated                         </w:t>
            </w:r>
            <w:r w:rsidRPr="00297B8A">
              <w:rPr>
                <w:rFonts w:ascii="Arial" w:hAnsi="Arial" w:cs="Arial"/>
                <w:sz w:val="22"/>
                <w:szCs w:val="22"/>
              </w:rPr>
              <w:t>PROVIDED THAT</w:t>
            </w:r>
          </w:p>
          <w:p w:rsidR="007D47D3" w:rsidRPr="00297B8A" w:rsidRDefault="007D47D3">
            <w:pPr>
              <w:jc w:val="both"/>
              <w:rPr>
                <w:rFonts w:ascii="Arial" w:hAnsi="Arial" w:cs="Arial"/>
                <w:sz w:val="22"/>
                <w:szCs w:val="22"/>
              </w:rPr>
            </w:pPr>
          </w:p>
          <w:p w:rsidR="007D47D3" w:rsidRPr="00297B8A" w:rsidRDefault="007D47D3" w:rsidP="00D1548A">
            <w:pPr>
              <w:numPr>
                <w:ilvl w:val="0"/>
                <w:numId w:val="1"/>
              </w:numPr>
              <w:tabs>
                <w:tab w:val="clear" w:pos="1080"/>
                <w:tab w:val="num" w:pos="612"/>
              </w:tabs>
              <w:ind w:left="612" w:hanging="612"/>
              <w:jc w:val="both"/>
              <w:rPr>
                <w:rFonts w:ascii="Arial" w:hAnsi="Arial" w:cs="Arial"/>
                <w:sz w:val="22"/>
                <w:szCs w:val="22"/>
              </w:rPr>
            </w:pPr>
            <w:r w:rsidRPr="00297B8A">
              <w:rPr>
                <w:rFonts w:ascii="Arial" w:hAnsi="Arial" w:cs="Arial"/>
                <w:sz w:val="22"/>
                <w:szCs w:val="22"/>
              </w:rPr>
              <w:t>the transactions are in ordinary course of business on an arms’ length basis, on normal commercial terms and on terms not more favorable to the related parties than those generally available to the public and are not detrimental to the minority shareholders of the Company; and</w:t>
            </w:r>
          </w:p>
          <w:p w:rsidR="007D47D3" w:rsidRPr="00297B8A" w:rsidRDefault="007D47D3" w:rsidP="00D1548A">
            <w:pPr>
              <w:numPr>
                <w:ilvl w:val="0"/>
                <w:numId w:val="1"/>
              </w:numPr>
              <w:tabs>
                <w:tab w:val="clear" w:pos="1080"/>
                <w:tab w:val="num" w:pos="612"/>
              </w:tabs>
              <w:ind w:left="612" w:hanging="630"/>
              <w:jc w:val="both"/>
              <w:rPr>
                <w:rFonts w:ascii="Arial" w:hAnsi="Arial" w:cs="Arial"/>
                <w:sz w:val="22"/>
                <w:szCs w:val="22"/>
              </w:rPr>
            </w:pPr>
            <w:r w:rsidRPr="00297B8A">
              <w:rPr>
                <w:rFonts w:ascii="Arial" w:hAnsi="Arial" w:cs="Arial"/>
                <w:sz w:val="22"/>
                <w:szCs w:val="22"/>
              </w:rPr>
              <w:t>disclosure of the aggregate value of the transactions conducted pursuant to this shareholders’ mandate during the financial year of the Company is made in the annual report by providing a breakdown of the aggregate value of the transactions, amongst others, based on the following information:-</w:t>
            </w:r>
          </w:p>
          <w:p w:rsidR="007D47D3" w:rsidRPr="00297B8A" w:rsidRDefault="007D47D3" w:rsidP="00D1548A">
            <w:pPr>
              <w:numPr>
                <w:ilvl w:val="1"/>
                <w:numId w:val="1"/>
              </w:numPr>
              <w:tabs>
                <w:tab w:val="clear" w:pos="1440"/>
                <w:tab w:val="num" w:pos="1152"/>
              </w:tabs>
              <w:ind w:hanging="828"/>
              <w:jc w:val="both"/>
              <w:rPr>
                <w:rFonts w:ascii="Arial" w:hAnsi="Arial" w:cs="Arial"/>
                <w:sz w:val="22"/>
                <w:szCs w:val="22"/>
              </w:rPr>
            </w:pPr>
            <w:r w:rsidRPr="00297B8A">
              <w:rPr>
                <w:rFonts w:ascii="Arial" w:hAnsi="Arial" w:cs="Arial"/>
                <w:sz w:val="22"/>
                <w:szCs w:val="22"/>
              </w:rPr>
              <w:t>the type of transactions made; and</w:t>
            </w:r>
          </w:p>
          <w:p w:rsidR="007D47D3" w:rsidRPr="00297B8A" w:rsidRDefault="007D47D3" w:rsidP="00C13702">
            <w:pPr>
              <w:numPr>
                <w:ilvl w:val="1"/>
                <w:numId w:val="1"/>
              </w:numPr>
              <w:tabs>
                <w:tab w:val="clear" w:pos="1440"/>
                <w:tab w:val="num" w:pos="1152"/>
              </w:tabs>
              <w:ind w:left="1152" w:hanging="540"/>
              <w:jc w:val="both"/>
              <w:rPr>
                <w:rFonts w:ascii="Arial" w:hAnsi="Arial" w:cs="Arial"/>
                <w:sz w:val="22"/>
                <w:szCs w:val="22"/>
              </w:rPr>
            </w:pPr>
            <w:r w:rsidRPr="00297B8A">
              <w:rPr>
                <w:rFonts w:ascii="Arial" w:hAnsi="Arial" w:cs="Arial"/>
                <w:sz w:val="22"/>
                <w:szCs w:val="22"/>
              </w:rPr>
              <w:t>the names of the related parties involved in each type of transactions made and their relationships with the Company and its subsidiaries.</w:t>
            </w:r>
          </w:p>
          <w:p w:rsidR="007D47D3" w:rsidRPr="00297B8A" w:rsidRDefault="007D47D3" w:rsidP="00C13702">
            <w:pPr>
              <w:jc w:val="both"/>
              <w:rPr>
                <w:rFonts w:ascii="Arial" w:hAnsi="Arial" w:cs="Arial"/>
                <w:sz w:val="22"/>
                <w:szCs w:val="22"/>
              </w:rPr>
            </w:pPr>
          </w:p>
          <w:p w:rsidR="007D47D3" w:rsidRPr="00297B8A" w:rsidRDefault="007D47D3" w:rsidP="00C13702">
            <w:pPr>
              <w:jc w:val="both"/>
              <w:rPr>
                <w:rFonts w:ascii="Arial" w:hAnsi="Arial" w:cs="Arial"/>
                <w:sz w:val="22"/>
                <w:szCs w:val="22"/>
              </w:rPr>
            </w:pPr>
            <w:r w:rsidRPr="00297B8A">
              <w:rPr>
                <w:rFonts w:ascii="Arial" w:hAnsi="Arial" w:cs="Arial"/>
                <w:sz w:val="22"/>
                <w:szCs w:val="22"/>
              </w:rPr>
              <w:t>AND THAT such authority shall commence upon the passing of this resolution and shall continue to be in force until:</w:t>
            </w:r>
          </w:p>
          <w:p w:rsidR="007D47D3" w:rsidRPr="00297B8A" w:rsidRDefault="007D47D3" w:rsidP="00C13702">
            <w:pPr>
              <w:jc w:val="both"/>
              <w:rPr>
                <w:rFonts w:ascii="Arial" w:hAnsi="Arial" w:cs="Arial"/>
                <w:sz w:val="22"/>
                <w:szCs w:val="22"/>
              </w:rPr>
            </w:pPr>
          </w:p>
          <w:p w:rsidR="007D47D3" w:rsidRPr="00297B8A" w:rsidRDefault="007D47D3" w:rsidP="00C13702">
            <w:pPr>
              <w:numPr>
                <w:ilvl w:val="0"/>
                <w:numId w:val="2"/>
              </w:numPr>
              <w:tabs>
                <w:tab w:val="clear" w:pos="720"/>
                <w:tab w:val="num" w:pos="522"/>
              </w:tabs>
              <w:ind w:left="612" w:hanging="630"/>
              <w:jc w:val="both"/>
              <w:rPr>
                <w:rFonts w:ascii="Arial" w:hAnsi="Arial" w:cs="Arial"/>
                <w:sz w:val="22"/>
                <w:szCs w:val="22"/>
              </w:rPr>
            </w:pPr>
            <w:r w:rsidRPr="00297B8A">
              <w:rPr>
                <w:rFonts w:ascii="Arial" w:hAnsi="Arial" w:cs="Arial"/>
                <w:sz w:val="22"/>
                <w:szCs w:val="22"/>
              </w:rPr>
              <w:t xml:space="preserve">  the conclusion of next Annual General Meeting of the Company, at which time it will lapse, unless by a resolution passed at the said Annual General Meeting, the authority is renewed;</w:t>
            </w:r>
          </w:p>
          <w:p w:rsidR="007D47D3" w:rsidRPr="00297B8A" w:rsidRDefault="007D47D3" w:rsidP="00C13702">
            <w:pPr>
              <w:numPr>
                <w:ilvl w:val="0"/>
                <w:numId w:val="2"/>
              </w:numPr>
              <w:tabs>
                <w:tab w:val="clear" w:pos="720"/>
                <w:tab w:val="num" w:pos="612"/>
              </w:tabs>
              <w:ind w:left="612" w:hanging="612"/>
              <w:jc w:val="both"/>
              <w:rPr>
                <w:rFonts w:ascii="Arial" w:hAnsi="Arial" w:cs="Arial"/>
                <w:sz w:val="22"/>
                <w:szCs w:val="22"/>
              </w:rPr>
            </w:pPr>
            <w:r w:rsidRPr="00297B8A">
              <w:rPr>
                <w:rFonts w:ascii="Arial" w:hAnsi="Arial" w:cs="Arial"/>
                <w:sz w:val="22"/>
                <w:szCs w:val="22"/>
              </w:rPr>
              <w:t>the expiration of the period within which the next Annual General Meeting after the date it is required to be held pursuant to Section 143(1) of the Act but shall not extend to such extension as may be allowed pursuant to Section 143(2) of the Act; or</w:t>
            </w:r>
          </w:p>
          <w:p w:rsidR="007D47D3" w:rsidRPr="00297B8A" w:rsidRDefault="007D47D3" w:rsidP="00C13702">
            <w:pPr>
              <w:numPr>
                <w:ilvl w:val="0"/>
                <w:numId w:val="2"/>
              </w:numPr>
              <w:tabs>
                <w:tab w:val="clear" w:pos="720"/>
                <w:tab w:val="num" w:pos="612"/>
              </w:tabs>
              <w:ind w:left="612" w:hanging="612"/>
              <w:jc w:val="both"/>
              <w:rPr>
                <w:rFonts w:ascii="Arial" w:hAnsi="Arial" w:cs="Arial"/>
                <w:sz w:val="22"/>
                <w:szCs w:val="22"/>
              </w:rPr>
            </w:pPr>
            <w:r w:rsidRPr="00297B8A">
              <w:rPr>
                <w:rFonts w:ascii="Arial" w:hAnsi="Arial" w:cs="Arial"/>
                <w:sz w:val="22"/>
                <w:szCs w:val="22"/>
              </w:rPr>
              <w:t>revoke or varied by resolution passed by the shareholders in general meeting, whichever is the earlier.</w:t>
            </w:r>
          </w:p>
          <w:p w:rsidR="007D47D3" w:rsidRPr="00297B8A" w:rsidRDefault="007D47D3" w:rsidP="00167513">
            <w:pPr>
              <w:jc w:val="both"/>
              <w:rPr>
                <w:rFonts w:ascii="Arial" w:hAnsi="Arial" w:cs="Arial"/>
                <w:sz w:val="22"/>
                <w:szCs w:val="22"/>
              </w:rPr>
            </w:pPr>
          </w:p>
          <w:p w:rsidR="007D47D3" w:rsidRPr="00297B8A" w:rsidRDefault="007D47D3" w:rsidP="00167513">
            <w:pPr>
              <w:jc w:val="both"/>
              <w:rPr>
                <w:rFonts w:ascii="Arial" w:hAnsi="Arial" w:cs="Arial"/>
                <w:sz w:val="22"/>
                <w:szCs w:val="22"/>
              </w:rPr>
            </w:pPr>
            <w:r w:rsidRPr="00297B8A">
              <w:rPr>
                <w:rFonts w:ascii="Arial" w:hAnsi="Arial" w:cs="Arial"/>
                <w:sz w:val="22"/>
                <w:szCs w:val="22"/>
              </w:rPr>
              <w:t>AND THAT authority be and is hereby given to the Directors of the Company to complete and do all such acts and things (including executing such documents as may be required) to give effect to the transactions contemplated and / or authorised by this Ordinary Resolution.</w:t>
            </w:r>
          </w:p>
          <w:p w:rsidR="007D47D3" w:rsidRPr="00297B8A" w:rsidRDefault="007D47D3">
            <w:pPr>
              <w:jc w:val="both"/>
              <w:rPr>
                <w:rFonts w:ascii="Arial" w:hAnsi="Arial" w:cs="Arial"/>
                <w:sz w:val="22"/>
                <w:szCs w:val="22"/>
              </w:rPr>
            </w:pPr>
          </w:p>
        </w:tc>
        <w:tc>
          <w:tcPr>
            <w:tcW w:w="1710" w:type="dxa"/>
          </w:tcPr>
          <w:p w:rsidR="007D47D3" w:rsidRPr="00297B8A" w:rsidRDefault="007D47D3">
            <w:pPr>
              <w:jc w:val="both"/>
              <w:rPr>
                <w:rFonts w:ascii="Arial" w:hAnsi="Arial" w:cs="Arial"/>
                <w:sz w:val="22"/>
                <w:szCs w:val="22"/>
              </w:rPr>
            </w:pPr>
          </w:p>
          <w:p w:rsidR="007D47D3" w:rsidRPr="00297B8A" w:rsidRDefault="007D47D3">
            <w:pPr>
              <w:jc w:val="both"/>
              <w:rPr>
                <w:rFonts w:ascii="Arial" w:hAnsi="Arial" w:cs="Arial"/>
                <w:sz w:val="22"/>
                <w:szCs w:val="22"/>
              </w:rPr>
            </w:pPr>
          </w:p>
          <w:p w:rsidR="007D47D3" w:rsidRPr="00297B8A" w:rsidRDefault="007D47D3">
            <w:pPr>
              <w:jc w:val="both"/>
              <w:rPr>
                <w:rFonts w:ascii="Arial" w:hAnsi="Arial" w:cs="Arial"/>
                <w:sz w:val="22"/>
                <w:szCs w:val="22"/>
              </w:rPr>
            </w:pPr>
          </w:p>
          <w:p w:rsidR="007D47D3" w:rsidRPr="00297B8A" w:rsidRDefault="007D47D3">
            <w:pPr>
              <w:jc w:val="both"/>
              <w:rPr>
                <w:rFonts w:ascii="Arial" w:hAnsi="Arial" w:cs="Arial"/>
                <w:sz w:val="22"/>
                <w:szCs w:val="22"/>
              </w:rPr>
            </w:pPr>
          </w:p>
          <w:p w:rsidR="007D47D3" w:rsidRPr="00297B8A" w:rsidRDefault="007D47D3">
            <w:pPr>
              <w:jc w:val="both"/>
              <w:rPr>
                <w:rFonts w:ascii="Arial" w:hAnsi="Arial" w:cs="Arial"/>
                <w:sz w:val="22"/>
                <w:szCs w:val="22"/>
              </w:rPr>
            </w:pPr>
          </w:p>
          <w:p w:rsidR="007D47D3" w:rsidRPr="00297B8A" w:rsidRDefault="007D47D3">
            <w:pPr>
              <w:jc w:val="both"/>
              <w:rPr>
                <w:rFonts w:ascii="Arial" w:hAnsi="Arial" w:cs="Arial"/>
                <w:sz w:val="22"/>
                <w:szCs w:val="22"/>
              </w:rPr>
            </w:pPr>
          </w:p>
          <w:p w:rsidR="007D47D3" w:rsidRPr="00297B8A" w:rsidRDefault="007D47D3">
            <w:pPr>
              <w:jc w:val="both"/>
              <w:rPr>
                <w:rFonts w:ascii="Arial" w:hAnsi="Arial" w:cs="Arial"/>
                <w:sz w:val="22"/>
                <w:szCs w:val="22"/>
              </w:rPr>
            </w:pPr>
          </w:p>
          <w:p w:rsidR="007D47D3" w:rsidRPr="00297B8A" w:rsidRDefault="007D47D3">
            <w:pPr>
              <w:jc w:val="both"/>
              <w:rPr>
                <w:rFonts w:ascii="Arial" w:hAnsi="Arial" w:cs="Arial"/>
                <w:sz w:val="22"/>
                <w:szCs w:val="22"/>
              </w:rPr>
            </w:pPr>
          </w:p>
          <w:p w:rsidR="007D47D3" w:rsidRPr="00297B8A" w:rsidRDefault="007D47D3">
            <w:pPr>
              <w:jc w:val="both"/>
              <w:rPr>
                <w:rFonts w:ascii="Arial" w:hAnsi="Arial" w:cs="Arial"/>
                <w:sz w:val="22"/>
                <w:szCs w:val="22"/>
              </w:rPr>
            </w:pPr>
          </w:p>
          <w:p w:rsidR="007D47D3" w:rsidRPr="00297B8A" w:rsidRDefault="007D47D3">
            <w:pPr>
              <w:jc w:val="both"/>
              <w:rPr>
                <w:rFonts w:ascii="Arial" w:hAnsi="Arial" w:cs="Arial"/>
                <w:sz w:val="22"/>
                <w:szCs w:val="22"/>
              </w:rPr>
            </w:pPr>
          </w:p>
          <w:p w:rsidR="007D47D3" w:rsidRPr="00297B8A" w:rsidRDefault="007D47D3">
            <w:pPr>
              <w:jc w:val="both"/>
              <w:rPr>
                <w:rFonts w:ascii="Arial" w:hAnsi="Arial" w:cs="Arial"/>
                <w:sz w:val="22"/>
                <w:szCs w:val="22"/>
              </w:rPr>
            </w:pPr>
          </w:p>
          <w:p w:rsidR="007D47D3" w:rsidRPr="00297B8A" w:rsidRDefault="007D47D3">
            <w:pPr>
              <w:jc w:val="both"/>
              <w:rPr>
                <w:rFonts w:ascii="Arial" w:hAnsi="Arial" w:cs="Arial"/>
                <w:sz w:val="22"/>
                <w:szCs w:val="22"/>
              </w:rPr>
            </w:pPr>
          </w:p>
          <w:p w:rsidR="007D47D3" w:rsidRPr="00297B8A" w:rsidRDefault="007D47D3">
            <w:pPr>
              <w:jc w:val="both"/>
              <w:rPr>
                <w:rFonts w:ascii="Arial" w:hAnsi="Arial" w:cs="Arial"/>
                <w:sz w:val="22"/>
                <w:szCs w:val="22"/>
              </w:rPr>
            </w:pPr>
          </w:p>
          <w:p w:rsidR="007D47D3" w:rsidRPr="00297B8A" w:rsidRDefault="007D47D3">
            <w:pPr>
              <w:jc w:val="both"/>
              <w:rPr>
                <w:rFonts w:ascii="Arial" w:hAnsi="Arial" w:cs="Arial"/>
                <w:sz w:val="22"/>
                <w:szCs w:val="22"/>
              </w:rPr>
            </w:pPr>
          </w:p>
          <w:p w:rsidR="007D47D3" w:rsidRPr="00297B8A" w:rsidRDefault="007D47D3">
            <w:pPr>
              <w:jc w:val="both"/>
              <w:rPr>
                <w:rFonts w:ascii="Arial" w:hAnsi="Arial" w:cs="Arial"/>
                <w:sz w:val="22"/>
                <w:szCs w:val="22"/>
              </w:rPr>
            </w:pPr>
          </w:p>
          <w:p w:rsidR="007D47D3" w:rsidRPr="00297B8A" w:rsidRDefault="007D47D3">
            <w:pPr>
              <w:jc w:val="both"/>
              <w:rPr>
                <w:rFonts w:ascii="Arial" w:hAnsi="Arial" w:cs="Arial"/>
                <w:sz w:val="22"/>
                <w:szCs w:val="22"/>
              </w:rPr>
            </w:pPr>
          </w:p>
          <w:p w:rsidR="007D47D3" w:rsidRPr="00297B8A" w:rsidRDefault="007D47D3">
            <w:pPr>
              <w:jc w:val="both"/>
              <w:rPr>
                <w:rFonts w:ascii="Arial" w:hAnsi="Arial" w:cs="Arial"/>
                <w:sz w:val="22"/>
                <w:szCs w:val="22"/>
              </w:rPr>
            </w:pPr>
          </w:p>
          <w:p w:rsidR="007D47D3" w:rsidRPr="00297B8A" w:rsidRDefault="007D47D3">
            <w:pPr>
              <w:jc w:val="both"/>
              <w:rPr>
                <w:rFonts w:ascii="Arial" w:hAnsi="Arial" w:cs="Arial"/>
                <w:sz w:val="22"/>
                <w:szCs w:val="22"/>
              </w:rPr>
            </w:pPr>
          </w:p>
          <w:p w:rsidR="007D47D3" w:rsidRPr="00297B8A" w:rsidRDefault="007D47D3">
            <w:pPr>
              <w:jc w:val="both"/>
              <w:rPr>
                <w:rFonts w:ascii="Arial" w:hAnsi="Arial" w:cs="Arial"/>
                <w:sz w:val="22"/>
                <w:szCs w:val="22"/>
              </w:rPr>
            </w:pPr>
          </w:p>
          <w:p w:rsidR="007D47D3" w:rsidRPr="00297B8A" w:rsidRDefault="007D47D3">
            <w:pPr>
              <w:jc w:val="both"/>
              <w:rPr>
                <w:rFonts w:ascii="Arial" w:hAnsi="Arial" w:cs="Arial"/>
                <w:sz w:val="22"/>
                <w:szCs w:val="22"/>
              </w:rPr>
            </w:pPr>
          </w:p>
          <w:p w:rsidR="007D47D3" w:rsidRPr="00297B8A" w:rsidRDefault="007D47D3">
            <w:pPr>
              <w:jc w:val="both"/>
              <w:rPr>
                <w:rFonts w:ascii="Arial" w:hAnsi="Arial" w:cs="Arial"/>
                <w:sz w:val="22"/>
                <w:szCs w:val="22"/>
              </w:rPr>
            </w:pPr>
          </w:p>
          <w:p w:rsidR="007D47D3" w:rsidRPr="00297B8A" w:rsidRDefault="007D47D3">
            <w:pPr>
              <w:jc w:val="both"/>
              <w:rPr>
                <w:rFonts w:ascii="Arial" w:hAnsi="Arial" w:cs="Arial"/>
                <w:sz w:val="22"/>
                <w:szCs w:val="22"/>
              </w:rPr>
            </w:pPr>
          </w:p>
          <w:p w:rsidR="007D47D3" w:rsidRPr="00297B8A" w:rsidRDefault="007D47D3">
            <w:pPr>
              <w:jc w:val="both"/>
              <w:rPr>
                <w:rFonts w:ascii="Arial" w:hAnsi="Arial" w:cs="Arial"/>
                <w:sz w:val="22"/>
                <w:szCs w:val="22"/>
              </w:rPr>
            </w:pPr>
          </w:p>
          <w:p w:rsidR="007D47D3" w:rsidRPr="00297B8A" w:rsidRDefault="007D47D3">
            <w:pPr>
              <w:jc w:val="both"/>
              <w:rPr>
                <w:rFonts w:ascii="Arial" w:hAnsi="Arial" w:cs="Arial"/>
                <w:sz w:val="22"/>
                <w:szCs w:val="22"/>
              </w:rPr>
            </w:pPr>
          </w:p>
          <w:p w:rsidR="007D47D3" w:rsidRPr="00297B8A" w:rsidRDefault="007D47D3">
            <w:pPr>
              <w:jc w:val="both"/>
              <w:rPr>
                <w:rFonts w:ascii="Arial" w:hAnsi="Arial" w:cs="Arial"/>
                <w:sz w:val="22"/>
                <w:szCs w:val="22"/>
              </w:rPr>
            </w:pPr>
          </w:p>
          <w:p w:rsidR="007D47D3" w:rsidRPr="00297B8A" w:rsidRDefault="007D47D3">
            <w:pPr>
              <w:jc w:val="both"/>
              <w:rPr>
                <w:rFonts w:ascii="Arial" w:hAnsi="Arial" w:cs="Arial"/>
                <w:sz w:val="22"/>
                <w:szCs w:val="22"/>
              </w:rPr>
            </w:pPr>
          </w:p>
          <w:p w:rsidR="007D47D3" w:rsidRPr="00297B8A" w:rsidRDefault="007D47D3">
            <w:pPr>
              <w:jc w:val="both"/>
              <w:rPr>
                <w:rFonts w:ascii="Arial" w:hAnsi="Arial" w:cs="Arial"/>
                <w:sz w:val="22"/>
                <w:szCs w:val="22"/>
              </w:rPr>
            </w:pPr>
          </w:p>
          <w:p w:rsidR="007D47D3" w:rsidRPr="00297B8A" w:rsidRDefault="007D47D3">
            <w:pPr>
              <w:jc w:val="both"/>
              <w:rPr>
                <w:rFonts w:ascii="Arial" w:hAnsi="Arial" w:cs="Arial"/>
                <w:sz w:val="22"/>
                <w:szCs w:val="22"/>
              </w:rPr>
            </w:pPr>
          </w:p>
          <w:p w:rsidR="007D47D3" w:rsidRPr="00297B8A" w:rsidRDefault="007D47D3">
            <w:pPr>
              <w:jc w:val="both"/>
              <w:rPr>
                <w:rFonts w:ascii="Arial" w:hAnsi="Arial" w:cs="Arial"/>
                <w:sz w:val="22"/>
                <w:szCs w:val="22"/>
              </w:rPr>
            </w:pPr>
          </w:p>
          <w:p w:rsidR="007D47D3" w:rsidRPr="00297B8A" w:rsidRDefault="007D47D3">
            <w:pPr>
              <w:jc w:val="both"/>
              <w:rPr>
                <w:rFonts w:ascii="Arial" w:hAnsi="Arial" w:cs="Arial"/>
                <w:sz w:val="22"/>
                <w:szCs w:val="22"/>
              </w:rPr>
            </w:pPr>
          </w:p>
          <w:p w:rsidR="007D47D3" w:rsidRPr="00297B8A" w:rsidRDefault="007D47D3">
            <w:pPr>
              <w:jc w:val="both"/>
              <w:rPr>
                <w:rFonts w:ascii="Arial" w:hAnsi="Arial" w:cs="Arial"/>
                <w:sz w:val="22"/>
                <w:szCs w:val="22"/>
              </w:rPr>
            </w:pPr>
          </w:p>
          <w:p w:rsidR="007D47D3" w:rsidRPr="00297B8A" w:rsidRDefault="007D47D3">
            <w:pPr>
              <w:jc w:val="both"/>
              <w:rPr>
                <w:rFonts w:ascii="Arial" w:hAnsi="Arial" w:cs="Arial"/>
                <w:sz w:val="22"/>
                <w:szCs w:val="22"/>
              </w:rPr>
            </w:pPr>
          </w:p>
          <w:p w:rsidR="007D47D3" w:rsidRPr="00297B8A" w:rsidRDefault="007D47D3">
            <w:pPr>
              <w:jc w:val="both"/>
              <w:rPr>
                <w:rFonts w:ascii="Arial" w:hAnsi="Arial" w:cs="Arial"/>
                <w:sz w:val="22"/>
                <w:szCs w:val="22"/>
              </w:rPr>
            </w:pPr>
          </w:p>
          <w:p w:rsidR="007D47D3" w:rsidRPr="00297B8A" w:rsidRDefault="007D47D3">
            <w:pPr>
              <w:jc w:val="both"/>
              <w:rPr>
                <w:rFonts w:ascii="Arial" w:hAnsi="Arial" w:cs="Arial"/>
                <w:sz w:val="22"/>
                <w:szCs w:val="22"/>
              </w:rPr>
            </w:pPr>
          </w:p>
          <w:p w:rsidR="007D47D3" w:rsidRPr="00297B8A" w:rsidRDefault="007D47D3">
            <w:pPr>
              <w:jc w:val="both"/>
              <w:rPr>
                <w:rFonts w:ascii="Arial" w:hAnsi="Arial" w:cs="Arial"/>
                <w:sz w:val="22"/>
                <w:szCs w:val="22"/>
              </w:rPr>
            </w:pPr>
          </w:p>
          <w:p w:rsidR="007D47D3" w:rsidRPr="00297B8A" w:rsidRDefault="007D47D3">
            <w:pPr>
              <w:jc w:val="both"/>
              <w:rPr>
                <w:rFonts w:ascii="Arial" w:hAnsi="Arial" w:cs="Arial"/>
                <w:sz w:val="22"/>
                <w:szCs w:val="22"/>
              </w:rPr>
            </w:pPr>
          </w:p>
          <w:p w:rsidR="007D47D3" w:rsidRPr="00297B8A" w:rsidRDefault="007D47D3">
            <w:pPr>
              <w:jc w:val="both"/>
              <w:rPr>
                <w:rFonts w:ascii="Arial" w:hAnsi="Arial" w:cs="Arial"/>
                <w:sz w:val="22"/>
                <w:szCs w:val="22"/>
              </w:rPr>
            </w:pPr>
          </w:p>
          <w:p w:rsidR="007D47D3" w:rsidRPr="00297B8A" w:rsidRDefault="007D47D3">
            <w:pPr>
              <w:jc w:val="both"/>
              <w:rPr>
                <w:rFonts w:ascii="Arial" w:hAnsi="Arial" w:cs="Arial"/>
                <w:sz w:val="22"/>
                <w:szCs w:val="22"/>
              </w:rPr>
            </w:pPr>
          </w:p>
          <w:p w:rsidR="007D47D3" w:rsidRPr="00297B8A" w:rsidRDefault="007D47D3">
            <w:pPr>
              <w:jc w:val="both"/>
              <w:rPr>
                <w:rFonts w:ascii="Arial" w:hAnsi="Arial" w:cs="Arial"/>
                <w:sz w:val="22"/>
                <w:szCs w:val="22"/>
              </w:rPr>
            </w:pPr>
          </w:p>
          <w:p w:rsidR="007D47D3" w:rsidRPr="00297B8A" w:rsidRDefault="007D47D3">
            <w:pPr>
              <w:jc w:val="both"/>
              <w:rPr>
                <w:rFonts w:ascii="Arial" w:hAnsi="Arial" w:cs="Arial"/>
                <w:sz w:val="22"/>
                <w:szCs w:val="22"/>
              </w:rPr>
            </w:pPr>
          </w:p>
          <w:p w:rsidR="007D47D3" w:rsidRPr="00297B8A" w:rsidRDefault="007D47D3">
            <w:pPr>
              <w:jc w:val="both"/>
              <w:rPr>
                <w:rFonts w:ascii="Arial" w:hAnsi="Arial" w:cs="Arial"/>
                <w:sz w:val="22"/>
                <w:szCs w:val="22"/>
              </w:rPr>
            </w:pPr>
          </w:p>
          <w:p w:rsidR="007D47D3" w:rsidRPr="00297B8A" w:rsidRDefault="007D47D3">
            <w:pPr>
              <w:jc w:val="both"/>
              <w:rPr>
                <w:rFonts w:ascii="Arial" w:hAnsi="Arial" w:cs="Arial"/>
                <w:sz w:val="22"/>
                <w:szCs w:val="22"/>
              </w:rPr>
            </w:pPr>
          </w:p>
          <w:p w:rsidR="007D47D3" w:rsidRPr="00297B8A" w:rsidRDefault="007D47D3">
            <w:pPr>
              <w:jc w:val="both"/>
              <w:rPr>
                <w:rFonts w:ascii="Arial" w:hAnsi="Arial" w:cs="Arial"/>
                <w:sz w:val="22"/>
                <w:szCs w:val="22"/>
              </w:rPr>
            </w:pPr>
          </w:p>
          <w:p w:rsidR="007D47D3" w:rsidRPr="00297B8A" w:rsidRDefault="007D47D3">
            <w:pPr>
              <w:jc w:val="both"/>
              <w:rPr>
                <w:rFonts w:ascii="Arial" w:hAnsi="Arial" w:cs="Arial"/>
                <w:sz w:val="22"/>
                <w:szCs w:val="22"/>
              </w:rPr>
            </w:pPr>
          </w:p>
          <w:p w:rsidR="007D47D3" w:rsidRPr="00297B8A" w:rsidRDefault="007D47D3">
            <w:pPr>
              <w:jc w:val="both"/>
              <w:rPr>
                <w:rFonts w:ascii="Arial" w:hAnsi="Arial" w:cs="Arial"/>
                <w:sz w:val="22"/>
                <w:szCs w:val="22"/>
              </w:rPr>
            </w:pPr>
          </w:p>
          <w:p w:rsidR="007D47D3" w:rsidRPr="00297B8A" w:rsidRDefault="007D47D3">
            <w:pPr>
              <w:jc w:val="both"/>
              <w:rPr>
                <w:rFonts w:ascii="Arial" w:hAnsi="Arial" w:cs="Arial"/>
                <w:sz w:val="22"/>
                <w:szCs w:val="22"/>
              </w:rPr>
            </w:pPr>
          </w:p>
          <w:p w:rsidR="007D47D3" w:rsidRPr="00297B8A" w:rsidRDefault="007D47D3">
            <w:pPr>
              <w:jc w:val="both"/>
              <w:rPr>
                <w:rFonts w:ascii="Arial" w:hAnsi="Arial" w:cs="Arial"/>
                <w:sz w:val="22"/>
                <w:szCs w:val="22"/>
              </w:rPr>
            </w:pPr>
          </w:p>
          <w:p w:rsidR="007D47D3" w:rsidRPr="00297B8A" w:rsidRDefault="007D47D3">
            <w:pPr>
              <w:jc w:val="both"/>
              <w:rPr>
                <w:rFonts w:ascii="Arial" w:hAnsi="Arial" w:cs="Arial"/>
                <w:sz w:val="22"/>
                <w:szCs w:val="22"/>
              </w:rPr>
            </w:pPr>
            <w:r w:rsidRPr="00297B8A">
              <w:rPr>
                <w:rFonts w:ascii="Arial" w:hAnsi="Arial" w:cs="Arial"/>
                <w:sz w:val="22"/>
                <w:szCs w:val="22"/>
              </w:rPr>
              <w:t>(Resolution 1</w:t>
            </w:r>
            <w:r>
              <w:rPr>
                <w:rFonts w:ascii="Arial" w:hAnsi="Arial" w:cs="Arial"/>
                <w:sz w:val="22"/>
                <w:szCs w:val="22"/>
              </w:rPr>
              <w:t>0</w:t>
            </w:r>
            <w:r w:rsidRPr="00297B8A">
              <w:rPr>
                <w:rFonts w:ascii="Arial" w:hAnsi="Arial" w:cs="Arial"/>
                <w:sz w:val="22"/>
                <w:szCs w:val="22"/>
              </w:rPr>
              <w:t>)</w:t>
            </w:r>
          </w:p>
          <w:p w:rsidR="007D47D3" w:rsidRPr="00297B8A" w:rsidRDefault="007D47D3">
            <w:pPr>
              <w:jc w:val="both"/>
              <w:rPr>
                <w:rFonts w:ascii="Arial" w:hAnsi="Arial" w:cs="Arial"/>
                <w:sz w:val="22"/>
                <w:szCs w:val="22"/>
              </w:rPr>
            </w:pPr>
          </w:p>
        </w:tc>
      </w:tr>
      <w:tr w:rsidR="007D47D3">
        <w:tc>
          <w:tcPr>
            <w:tcW w:w="468" w:type="dxa"/>
          </w:tcPr>
          <w:p w:rsidR="007D47D3" w:rsidRPr="00DD4D64" w:rsidRDefault="007D47D3" w:rsidP="00DD4D64">
            <w:pPr>
              <w:rPr>
                <w:rFonts w:ascii="Arial" w:hAnsi="Arial" w:cs="Arial"/>
                <w:sz w:val="22"/>
                <w:szCs w:val="22"/>
              </w:rPr>
            </w:pPr>
            <w:r>
              <w:rPr>
                <w:rFonts w:ascii="Arial" w:hAnsi="Arial" w:cs="Arial"/>
                <w:sz w:val="22"/>
                <w:szCs w:val="22"/>
              </w:rPr>
              <w:t>8.</w:t>
            </w:r>
          </w:p>
          <w:p w:rsidR="007D47D3" w:rsidRDefault="007D47D3" w:rsidP="00DD4D64">
            <w:pPr>
              <w:rPr>
                <w:rFonts w:ascii="Arial" w:hAnsi="Arial" w:cs="Arial"/>
                <w:sz w:val="22"/>
                <w:szCs w:val="22"/>
              </w:rPr>
            </w:pPr>
          </w:p>
          <w:p w:rsidR="007D47D3" w:rsidRDefault="007D47D3" w:rsidP="00DD4D64">
            <w:pPr>
              <w:rPr>
                <w:rFonts w:ascii="Arial" w:hAnsi="Arial" w:cs="Arial"/>
                <w:sz w:val="22"/>
                <w:szCs w:val="22"/>
              </w:rPr>
            </w:pPr>
          </w:p>
          <w:p w:rsidR="007D47D3" w:rsidRPr="00DD4D64" w:rsidRDefault="007D47D3" w:rsidP="00DD4D64">
            <w:pPr>
              <w:rPr>
                <w:rFonts w:ascii="Arial" w:hAnsi="Arial" w:cs="Arial"/>
                <w:sz w:val="22"/>
                <w:szCs w:val="22"/>
              </w:rPr>
            </w:pPr>
          </w:p>
        </w:tc>
        <w:tc>
          <w:tcPr>
            <w:tcW w:w="6750" w:type="dxa"/>
            <w:gridSpan w:val="2"/>
          </w:tcPr>
          <w:p w:rsidR="007D47D3" w:rsidRDefault="007D47D3">
            <w:pPr>
              <w:jc w:val="both"/>
              <w:rPr>
                <w:rFonts w:ascii="Arial" w:hAnsi="Arial" w:cs="Arial"/>
                <w:sz w:val="22"/>
                <w:szCs w:val="22"/>
              </w:rPr>
            </w:pPr>
            <w:r>
              <w:rPr>
                <w:rFonts w:ascii="Arial" w:hAnsi="Arial" w:cs="Arial"/>
                <w:sz w:val="22"/>
                <w:szCs w:val="22"/>
              </w:rPr>
              <w:t>To consider any other business of which due notice shall have been given.</w:t>
            </w:r>
          </w:p>
          <w:p w:rsidR="007D47D3" w:rsidRDefault="007D47D3">
            <w:pPr>
              <w:jc w:val="both"/>
              <w:rPr>
                <w:rFonts w:ascii="Arial" w:hAnsi="Arial" w:cs="Arial"/>
                <w:sz w:val="22"/>
                <w:szCs w:val="22"/>
              </w:rPr>
            </w:pPr>
          </w:p>
        </w:tc>
        <w:tc>
          <w:tcPr>
            <w:tcW w:w="1710" w:type="dxa"/>
          </w:tcPr>
          <w:p w:rsidR="007D47D3" w:rsidRDefault="007D47D3">
            <w:pPr>
              <w:jc w:val="both"/>
              <w:rPr>
                <w:rFonts w:ascii="Arial" w:hAnsi="Arial" w:cs="Arial"/>
                <w:sz w:val="22"/>
                <w:szCs w:val="22"/>
              </w:rPr>
            </w:pPr>
            <w:r>
              <w:rPr>
                <w:rFonts w:ascii="Arial" w:hAnsi="Arial" w:cs="Arial"/>
                <w:sz w:val="22"/>
                <w:szCs w:val="22"/>
              </w:rPr>
              <w:t xml:space="preserve"> </w:t>
            </w:r>
          </w:p>
          <w:p w:rsidR="007D47D3" w:rsidRDefault="007D47D3">
            <w:pPr>
              <w:jc w:val="both"/>
              <w:rPr>
                <w:rFonts w:ascii="Arial" w:hAnsi="Arial" w:cs="Arial"/>
                <w:sz w:val="22"/>
                <w:szCs w:val="22"/>
              </w:rPr>
            </w:pPr>
          </w:p>
        </w:tc>
      </w:tr>
    </w:tbl>
    <w:p w:rsidR="007D47D3" w:rsidRDefault="007D47D3" w:rsidP="00F12B09">
      <w:pPr>
        <w:ind w:left="720" w:hanging="720"/>
        <w:jc w:val="both"/>
        <w:rPr>
          <w:rFonts w:ascii="Arial" w:hAnsi="Arial" w:cs="Arial"/>
          <w:sz w:val="22"/>
          <w:szCs w:val="22"/>
        </w:rPr>
      </w:pPr>
      <w:r>
        <w:rPr>
          <w:rFonts w:ascii="Arial" w:hAnsi="Arial" w:cs="Arial"/>
          <w:sz w:val="22"/>
          <w:szCs w:val="22"/>
        </w:rPr>
        <w:t>BY ORDER OF THE BOARD</w:t>
      </w:r>
    </w:p>
    <w:p w:rsidR="007D47D3" w:rsidRDefault="007D47D3">
      <w:pPr>
        <w:jc w:val="both"/>
        <w:rPr>
          <w:rFonts w:ascii="Arial" w:hAnsi="Arial" w:cs="Arial"/>
          <w:sz w:val="22"/>
          <w:szCs w:val="22"/>
        </w:rPr>
      </w:pPr>
    </w:p>
    <w:p w:rsidR="007D47D3" w:rsidRDefault="007D47D3">
      <w:pPr>
        <w:jc w:val="both"/>
        <w:rPr>
          <w:rFonts w:ascii="Arial" w:hAnsi="Arial" w:cs="Arial"/>
          <w:sz w:val="22"/>
          <w:szCs w:val="22"/>
        </w:rPr>
      </w:pPr>
    </w:p>
    <w:p w:rsidR="007D47D3" w:rsidRDefault="007D47D3">
      <w:pPr>
        <w:jc w:val="both"/>
        <w:rPr>
          <w:rFonts w:ascii="Arial" w:hAnsi="Arial" w:cs="Arial"/>
          <w:sz w:val="22"/>
          <w:szCs w:val="22"/>
        </w:rPr>
      </w:pPr>
    </w:p>
    <w:p w:rsidR="007D47D3" w:rsidRDefault="007D47D3">
      <w:pPr>
        <w:jc w:val="both"/>
        <w:rPr>
          <w:rFonts w:ascii="Arial" w:hAnsi="Arial" w:cs="Arial"/>
          <w:sz w:val="22"/>
          <w:szCs w:val="22"/>
        </w:rPr>
      </w:pPr>
      <w:r>
        <w:rPr>
          <w:rFonts w:ascii="Arial" w:hAnsi="Arial" w:cs="Arial"/>
          <w:sz w:val="22"/>
          <w:szCs w:val="22"/>
        </w:rPr>
        <w:t>NG BEE LIAN (MAICSA 7041392)</w:t>
      </w:r>
    </w:p>
    <w:p w:rsidR="007D47D3" w:rsidRDefault="007D47D3">
      <w:pPr>
        <w:jc w:val="both"/>
        <w:rPr>
          <w:rFonts w:ascii="Arial" w:hAnsi="Arial" w:cs="Arial"/>
          <w:sz w:val="22"/>
          <w:szCs w:val="22"/>
        </w:rPr>
      </w:pPr>
      <w:r>
        <w:rPr>
          <w:rFonts w:ascii="Arial" w:hAnsi="Arial" w:cs="Arial"/>
          <w:sz w:val="22"/>
          <w:szCs w:val="22"/>
        </w:rPr>
        <w:t>TAN ENK PURN (MAICSA 7045521)</w:t>
      </w:r>
    </w:p>
    <w:p w:rsidR="007D47D3" w:rsidRDefault="007D47D3">
      <w:pPr>
        <w:jc w:val="both"/>
        <w:rPr>
          <w:rFonts w:ascii="Arial" w:hAnsi="Arial" w:cs="Arial"/>
          <w:sz w:val="22"/>
          <w:szCs w:val="22"/>
        </w:rPr>
      </w:pPr>
      <w:r>
        <w:rPr>
          <w:rFonts w:ascii="Arial" w:hAnsi="Arial" w:cs="Arial"/>
          <w:sz w:val="22"/>
          <w:szCs w:val="22"/>
        </w:rPr>
        <w:t>Company Secretaries</w:t>
      </w:r>
    </w:p>
    <w:p w:rsidR="007D47D3" w:rsidRDefault="007D47D3">
      <w:pPr>
        <w:jc w:val="both"/>
        <w:rPr>
          <w:rFonts w:ascii="Arial" w:hAnsi="Arial" w:cs="Arial"/>
          <w:sz w:val="22"/>
          <w:szCs w:val="22"/>
        </w:rPr>
      </w:pPr>
    </w:p>
    <w:p w:rsidR="007D47D3" w:rsidRDefault="007D47D3">
      <w:pPr>
        <w:jc w:val="both"/>
        <w:rPr>
          <w:rFonts w:ascii="Arial" w:hAnsi="Arial" w:cs="Arial"/>
          <w:sz w:val="22"/>
          <w:szCs w:val="22"/>
        </w:rPr>
      </w:pPr>
    </w:p>
    <w:p w:rsidR="007D47D3" w:rsidRDefault="007D47D3">
      <w:pPr>
        <w:jc w:val="both"/>
        <w:rPr>
          <w:rFonts w:ascii="Arial" w:hAnsi="Arial" w:cs="Arial"/>
          <w:sz w:val="22"/>
          <w:szCs w:val="22"/>
        </w:rPr>
      </w:pPr>
      <w:r>
        <w:rPr>
          <w:rFonts w:ascii="Arial" w:hAnsi="Arial" w:cs="Arial"/>
          <w:sz w:val="22"/>
          <w:szCs w:val="22"/>
        </w:rPr>
        <w:t>Kuala Lumpur</w:t>
      </w:r>
    </w:p>
    <w:p w:rsidR="007D47D3" w:rsidRDefault="007D47D3">
      <w:pPr>
        <w:jc w:val="both"/>
        <w:rPr>
          <w:rFonts w:ascii="Arial" w:hAnsi="Arial" w:cs="Arial"/>
          <w:sz w:val="22"/>
          <w:szCs w:val="22"/>
        </w:rPr>
      </w:pPr>
      <w:r>
        <w:rPr>
          <w:rFonts w:ascii="Arial" w:hAnsi="Arial" w:cs="Arial"/>
          <w:sz w:val="22"/>
          <w:szCs w:val="22"/>
        </w:rPr>
        <w:t>Date:  26 March 2010</w:t>
      </w:r>
    </w:p>
    <w:p w:rsidR="007D47D3" w:rsidRDefault="007D47D3">
      <w:pPr>
        <w:jc w:val="both"/>
        <w:rPr>
          <w:rFonts w:ascii="Arial" w:hAnsi="Arial" w:cs="Arial"/>
          <w:sz w:val="22"/>
          <w:szCs w:val="22"/>
        </w:rPr>
      </w:pPr>
    </w:p>
    <w:p w:rsidR="007D47D3" w:rsidRDefault="007D47D3">
      <w:pPr>
        <w:jc w:val="both"/>
        <w:rPr>
          <w:rFonts w:ascii="Arial" w:hAnsi="Arial" w:cs="Arial"/>
          <w:sz w:val="22"/>
          <w:szCs w:val="22"/>
        </w:rPr>
      </w:pPr>
      <w:r>
        <w:rPr>
          <w:rFonts w:ascii="Arial" w:hAnsi="Arial" w:cs="Arial"/>
          <w:sz w:val="22"/>
          <w:szCs w:val="22"/>
        </w:rPr>
        <w:t>EXPLANATORY NOTES TO SPECIAL BUSINESS:-</w:t>
      </w:r>
    </w:p>
    <w:p w:rsidR="007D47D3" w:rsidRDefault="007D47D3">
      <w:pPr>
        <w:jc w:val="both"/>
        <w:rPr>
          <w:rFonts w:ascii="Arial" w:hAnsi="Arial" w:cs="Arial"/>
          <w:sz w:val="22"/>
          <w:szCs w:val="22"/>
        </w:rPr>
      </w:pPr>
    </w:p>
    <w:p w:rsidR="007D47D3" w:rsidRDefault="007D47D3">
      <w:pPr>
        <w:ind w:left="720" w:hanging="720"/>
        <w:jc w:val="both"/>
        <w:rPr>
          <w:rFonts w:ascii="Arial" w:hAnsi="Arial" w:cs="Arial"/>
          <w:sz w:val="22"/>
          <w:szCs w:val="22"/>
        </w:rPr>
      </w:pPr>
      <w:r>
        <w:rPr>
          <w:rFonts w:ascii="Arial" w:hAnsi="Arial" w:cs="Arial"/>
          <w:sz w:val="22"/>
          <w:szCs w:val="22"/>
        </w:rPr>
        <w:t>1.</w:t>
      </w:r>
      <w:r>
        <w:rPr>
          <w:rFonts w:ascii="Arial" w:hAnsi="Arial" w:cs="Arial"/>
          <w:sz w:val="22"/>
          <w:szCs w:val="22"/>
        </w:rPr>
        <w:tab/>
        <w:t>The proposed resolution No. 10, if passed, is to empower the Directors to issue up to a maximum of ten (10) per centum of the total paid up share capital of the Company for the time being without convening a general meeting for such purposes as the Directors would be in the interest of the Company. This renewed authority unless revoked or varied by the Company at a general meeting will expire at the next Annual General Meeting.  Save for the allotment of 61,600,000 ordinary shares of RM0.20 each on 16 November 2009 which approval has been obtained from the Shareholders at an Extraordinary General Meeting held on 3 November 2009, no shares had been issued by the Company since obtaining the said authority from the shareholders at the last Annual General Meeting held on 9 June 2009. The renewal of the general mandate, if granted, will provide flexibility to the Company for any possible fund raising activities including but not limited to further placing of shares, for the purpose of funding future investment project(s), working capital and/or acquisition.</w:t>
      </w:r>
    </w:p>
    <w:p w:rsidR="007D47D3" w:rsidRDefault="007D47D3">
      <w:pPr>
        <w:ind w:left="720" w:hanging="720"/>
        <w:jc w:val="both"/>
        <w:rPr>
          <w:rFonts w:ascii="Arial" w:hAnsi="Arial" w:cs="Arial"/>
          <w:sz w:val="22"/>
          <w:szCs w:val="22"/>
        </w:rPr>
      </w:pPr>
    </w:p>
    <w:p w:rsidR="007D47D3" w:rsidRDefault="007D47D3">
      <w:pPr>
        <w:jc w:val="both"/>
        <w:rPr>
          <w:rFonts w:ascii="Arial" w:hAnsi="Arial" w:cs="Arial"/>
          <w:sz w:val="22"/>
          <w:szCs w:val="22"/>
        </w:rPr>
      </w:pPr>
      <w:r>
        <w:rPr>
          <w:rFonts w:ascii="Arial" w:hAnsi="Arial" w:cs="Arial"/>
          <w:sz w:val="22"/>
          <w:szCs w:val="22"/>
        </w:rPr>
        <w:t>NOTES :-</w:t>
      </w:r>
    </w:p>
    <w:p w:rsidR="007D47D3" w:rsidRDefault="007D47D3">
      <w:pPr>
        <w:jc w:val="both"/>
        <w:rPr>
          <w:rFonts w:ascii="Arial" w:hAnsi="Arial" w:cs="Arial"/>
          <w:sz w:val="22"/>
          <w:szCs w:val="22"/>
        </w:rPr>
      </w:pPr>
    </w:p>
    <w:p w:rsidR="007D47D3" w:rsidRDefault="007D47D3">
      <w:pPr>
        <w:ind w:left="720" w:hanging="720"/>
        <w:jc w:val="both"/>
        <w:rPr>
          <w:rFonts w:ascii="Arial" w:hAnsi="Arial" w:cs="Arial"/>
          <w:sz w:val="22"/>
          <w:szCs w:val="22"/>
        </w:rPr>
      </w:pPr>
      <w:r>
        <w:rPr>
          <w:rFonts w:ascii="Arial" w:hAnsi="Arial" w:cs="Arial"/>
          <w:sz w:val="22"/>
          <w:szCs w:val="22"/>
        </w:rPr>
        <w:t>1.</w:t>
      </w:r>
      <w:r>
        <w:rPr>
          <w:rFonts w:ascii="Arial" w:hAnsi="Arial" w:cs="Arial"/>
          <w:sz w:val="22"/>
          <w:szCs w:val="22"/>
        </w:rPr>
        <w:tab/>
        <w:t>A proxy may but need not be a member of the Company and the provisions of Section 149(1)(b) of the Act shall not apply to the Company.</w:t>
      </w:r>
    </w:p>
    <w:p w:rsidR="007D47D3" w:rsidRDefault="007D47D3">
      <w:pPr>
        <w:jc w:val="both"/>
        <w:rPr>
          <w:rFonts w:ascii="Arial" w:hAnsi="Arial" w:cs="Arial"/>
          <w:sz w:val="22"/>
          <w:szCs w:val="22"/>
        </w:rPr>
      </w:pPr>
    </w:p>
    <w:p w:rsidR="007D47D3" w:rsidRDefault="007D47D3">
      <w:pPr>
        <w:ind w:left="720" w:hanging="720"/>
        <w:jc w:val="both"/>
        <w:rPr>
          <w:rFonts w:ascii="Arial" w:hAnsi="Arial" w:cs="Arial"/>
          <w:sz w:val="22"/>
          <w:szCs w:val="22"/>
        </w:rPr>
      </w:pPr>
      <w:r>
        <w:rPr>
          <w:rFonts w:ascii="Arial" w:hAnsi="Arial" w:cs="Arial"/>
          <w:sz w:val="22"/>
          <w:szCs w:val="22"/>
        </w:rPr>
        <w:t>2.</w:t>
      </w:r>
      <w:r>
        <w:rPr>
          <w:rFonts w:ascii="Arial" w:hAnsi="Arial" w:cs="Arial"/>
          <w:sz w:val="22"/>
          <w:szCs w:val="22"/>
        </w:rPr>
        <w:tab/>
        <w:t>The proxy form must be duly completed and deposited at the registered office of the Company at AL 308, Lot 590 &amp; Lot 4196, Jalan Industri, U19, Kampung Baru Seri Sungai Buloh, 47000 Selangor D.E. not less than 48 hours before the time for holding the meeting.  Provided that in the event the member(s) duly executes the form of proxy but does not name any proxy, such member(s) shall be deemed to have appointed the Chairman of the meeting as his /their proxy, PROVIDED Always that the rest of the proxy form, other than the particulars of the proxy have been duly completed by the member(s)</w:t>
      </w:r>
    </w:p>
    <w:p w:rsidR="007D47D3" w:rsidRDefault="007D47D3">
      <w:pPr>
        <w:jc w:val="both"/>
        <w:rPr>
          <w:rFonts w:ascii="Arial" w:hAnsi="Arial" w:cs="Arial"/>
          <w:sz w:val="22"/>
          <w:szCs w:val="22"/>
        </w:rPr>
      </w:pPr>
    </w:p>
    <w:p w:rsidR="007D47D3" w:rsidRDefault="007D47D3">
      <w:pPr>
        <w:ind w:left="720" w:hanging="720"/>
        <w:jc w:val="both"/>
        <w:rPr>
          <w:rFonts w:ascii="Arial" w:hAnsi="Arial" w:cs="Arial"/>
          <w:sz w:val="22"/>
          <w:szCs w:val="22"/>
        </w:rPr>
      </w:pPr>
      <w:r>
        <w:rPr>
          <w:rFonts w:ascii="Arial" w:hAnsi="Arial" w:cs="Arial"/>
          <w:sz w:val="22"/>
          <w:szCs w:val="22"/>
        </w:rPr>
        <w:t>3.</w:t>
      </w:r>
      <w:r>
        <w:rPr>
          <w:rFonts w:ascii="Arial" w:hAnsi="Arial" w:cs="Arial"/>
          <w:sz w:val="22"/>
          <w:szCs w:val="22"/>
        </w:rPr>
        <w:tab/>
        <w:t>A member shall be entitled to appoint more than one (1) proxy to attend and vote at the same meeting provided that the provisions of Section 149(1)(c) of the Act are complied with.</w:t>
      </w:r>
    </w:p>
    <w:p w:rsidR="007D47D3" w:rsidRDefault="007D47D3">
      <w:pPr>
        <w:jc w:val="both"/>
        <w:rPr>
          <w:rFonts w:ascii="Arial" w:hAnsi="Arial" w:cs="Arial"/>
          <w:sz w:val="22"/>
          <w:szCs w:val="22"/>
        </w:rPr>
      </w:pPr>
    </w:p>
    <w:p w:rsidR="007D47D3" w:rsidRDefault="007D47D3">
      <w:pPr>
        <w:ind w:left="720" w:hanging="720"/>
        <w:jc w:val="both"/>
        <w:rPr>
          <w:rFonts w:ascii="Arial" w:hAnsi="Arial" w:cs="Arial"/>
          <w:sz w:val="22"/>
          <w:szCs w:val="22"/>
        </w:rPr>
      </w:pPr>
      <w:r>
        <w:rPr>
          <w:rFonts w:ascii="Arial" w:hAnsi="Arial" w:cs="Arial"/>
          <w:sz w:val="22"/>
          <w:szCs w:val="22"/>
        </w:rPr>
        <w:t>4.</w:t>
      </w:r>
      <w:r>
        <w:rPr>
          <w:rFonts w:ascii="Arial" w:hAnsi="Arial" w:cs="Arial"/>
          <w:sz w:val="22"/>
          <w:szCs w:val="22"/>
        </w:rPr>
        <w:tab/>
        <w:t>Where a member appoints more than one (1) proxy, the appointment shall be invalid unless he specifies the proportions of his holdings to be represented by each proxy.  Where the appointer is a corporation, the proxy form must be executed under its common seal or under the hand of an officer or attorney duly authorized.</w:t>
      </w:r>
    </w:p>
    <w:sectPr w:rsidR="007D47D3" w:rsidSect="0092433C">
      <w:pgSz w:w="12240" w:h="15840"/>
      <w:pgMar w:top="720" w:right="1440" w:bottom="720" w:left="1440" w:header="706" w:footer="706"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33522"/>
    <w:multiLevelType w:val="hybridMultilevel"/>
    <w:tmpl w:val="0366C79A"/>
    <w:lvl w:ilvl="0" w:tplc="86C8502C">
      <w:start w:val="1"/>
      <w:numFmt w:val="lowerRoman"/>
      <w:lvlText w:val="(%1)"/>
      <w:lvlJc w:val="left"/>
      <w:pPr>
        <w:tabs>
          <w:tab w:val="num" w:pos="1080"/>
        </w:tabs>
        <w:ind w:left="1080" w:hanging="720"/>
      </w:pPr>
      <w:rPr>
        <w:rFonts w:ascii="Times New Roman" w:eastAsia="Times New Roman" w:hAnsi="Times New Roman"/>
      </w:rPr>
    </w:lvl>
    <w:lvl w:ilvl="1" w:tplc="1CFAFDC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16166BCF"/>
    <w:multiLevelType w:val="hybridMultilevel"/>
    <w:tmpl w:val="36328832"/>
    <w:lvl w:ilvl="0" w:tplc="A666150E">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isplayHorizontalDrawingGridEvery w:val="0"/>
  <w:displayVerticalDrawingGridEvery w:val="0"/>
  <w:doNotUseMarginsForDrawingGridOrigin/>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0241"/>
    <w:rsid w:val="000306C0"/>
    <w:rsid w:val="000E4A01"/>
    <w:rsid w:val="00167513"/>
    <w:rsid w:val="00180EF1"/>
    <w:rsid w:val="001B27F2"/>
    <w:rsid w:val="00222460"/>
    <w:rsid w:val="00297B8A"/>
    <w:rsid w:val="003459C1"/>
    <w:rsid w:val="00373EAB"/>
    <w:rsid w:val="00385267"/>
    <w:rsid w:val="00400780"/>
    <w:rsid w:val="00402887"/>
    <w:rsid w:val="00476768"/>
    <w:rsid w:val="005F5509"/>
    <w:rsid w:val="0064539B"/>
    <w:rsid w:val="00650BF6"/>
    <w:rsid w:val="00676BAC"/>
    <w:rsid w:val="007D47D3"/>
    <w:rsid w:val="007E6F54"/>
    <w:rsid w:val="00885D27"/>
    <w:rsid w:val="00916DA7"/>
    <w:rsid w:val="0092433C"/>
    <w:rsid w:val="00942F34"/>
    <w:rsid w:val="00953ADC"/>
    <w:rsid w:val="009B15CD"/>
    <w:rsid w:val="00AB0241"/>
    <w:rsid w:val="00B064E3"/>
    <w:rsid w:val="00B226ED"/>
    <w:rsid w:val="00B4662C"/>
    <w:rsid w:val="00B52712"/>
    <w:rsid w:val="00C13702"/>
    <w:rsid w:val="00C843E9"/>
    <w:rsid w:val="00CA314A"/>
    <w:rsid w:val="00CF3A4F"/>
    <w:rsid w:val="00D1548A"/>
    <w:rsid w:val="00DD4D64"/>
    <w:rsid w:val="00F04D81"/>
    <w:rsid w:val="00F12B09"/>
    <w:rsid w:val="00F243E0"/>
    <w:rsid w:val="00F4275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33C"/>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2433C"/>
    <w:pPr>
      <w:tabs>
        <w:tab w:val="left" w:pos="6840"/>
      </w:tabs>
      <w:jc w:val="both"/>
    </w:pPr>
    <w:rPr>
      <w:rFonts w:ascii="Arial" w:hAnsi="Arial" w:cs="Arial"/>
      <w:sz w:val="22"/>
      <w:szCs w:val="22"/>
    </w:rPr>
  </w:style>
  <w:style w:type="character" w:customStyle="1" w:styleId="BodyTextChar">
    <w:name w:val="Body Text Char"/>
    <w:basedOn w:val="DefaultParagraphFont"/>
    <w:link w:val="BodyText"/>
    <w:uiPriority w:val="99"/>
    <w:semiHidden/>
    <w:rsid w:val="00222460"/>
    <w:rPr>
      <w:sz w:val="20"/>
      <w:szCs w:val="20"/>
    </w:rPr>
  </w:style>
  <w:style w:type="paragraph" w:styleId="BodyText2">
    <w:name w:val="Body Text 2"/>
    <w:basedOn w:val="Normal"/>
    <w:link w:val="BodyText2Char"/>
    <w:uiPriority w:val="99"/>
    <w:rsid w:val="0092433C"/>
    <w:pPr>
      <w:ind w:left="432"/>
      <w:jc w:val="both"/>
    </w:pPr>
    <w:rPr>
      <w:rFonts w:ascii="Arial" w:hAnsi="Arial" w:cs="Arial"/>
      <w:sz w:val="22"/>
      <w:szCs w:val="22"/>
    </w:rPr>
  </w:style>
  <w:style w:type="character" w:customStyle="1" w:styleId="BodyText2Char">
    <w:name w:val="Body Text 2 Char"/>
    <w:basedOn w:val="DefaultParagraphFont"/>
    <w:link w:val="BodyText2"/>
    <w:uiPriority w:val="99"/>
    <w:semiHidden/>
    <w:rsid w:val="00222460"/>
    <w:rPr>
      <w:sz w:val="20"/>
      <w:szCs w:val="20"/>
    </w:rPr>
  </w:style>
  <w:style w:type="paragraph" w:styleId="BalloonText">
    <w:name w:val="Balloon Text"/>
    <w:basedOn w:val="Normal"/>
    <w:link w:val="BalloonTextChar"/>
    <w:uiPriority w:val="99"/>
    <w:semiHidden/>
    <w:rsid w:val="00650BF6"/>
    <w:rPr>
      <w:rFonts w:ascii="Tahoma" w:hAnsi="Tahoma" w:cs="Tahoma"/>
      <w:sz w:val="16"/>
      <w:szCs w:val="16"/>
    </w:rPr>
  </w:style>
  <w:style w:type="character" w:customStyle="1" w:styleId="BalloonTextChar">
    <w:name w:val="Balloon Text Char"/>
    <w:basedOn w:val="DefaultParagraphFont"/>
    <w:link w:val="BalloonText"/>
    <w:uiPriority w:val="99"/>
    <w:semiHidden/>
    <w:rsid w:val="00222460"/>
    <w:rPr>
      <w:sz w:val="2"/>
      <w:szCs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4</Pages>
  <Words>1197</Words>
  <Characters>6828</Characters>
  <Application>Microsoft Office Outlook</Application>
  <DocSecurity>0</DocSecurity>
  <Lines>0</Lines>
  <Paragraphs>0</Paragraphs>
  <ScaleCrop>false</ScaleCrop>
  <Company>Dynasty Emporium (M) Sdn Bhd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THREE-A RESOURCES BERHAD (481559-M)</dc:title>
  <dc:subject/>
  <dc:creator>Dynasty Emporium (M) Sdn Bhd  (April '99)</dc:creator>
  <cp:keywords/>
  <dc:description/>
  <cp:lastModifiedBy> </cp:lastModifiedBy>
  <cp:revision>6</cp:revision>
  <cp:lastPrinted>2010-03-01T02:31:00Z</cp:lastPrinted>
  <dcterms:created xsi:type="dcterms:W3CDTF">2010-02-28T14:49:00Z</dcterms:created>
  <dcterms:modified xsi:type="dcterms:W3CDTF">2010-03-01T02:31:00Z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481481637</vt:i4>
  </property>
  <property fmtid="{D5CDD505-2E9C-101B-9397-08002B2CF9AE}" pid="3" name="_EmailSubject">
    <vt:lpwstr>Schedule</vt:lpwstr>
  </property>
  <property fmtid="{D5CDD505-2E9C-101B-9397-08002B2CF9AE}" pid="4" name="_AuthorEmail">
    <vt:lpwstr>amssbn@tm.net.my</vt:lpwstr>
  </property>
  <property fmtid="{D5CDD505-2E9C-101B-9397-08002B2CF9AE}" pid="5" name="_AuthorEmailDisplayName">
    <vt:lpwstr>Asia Management Services Sdn Bhd</vt:lpwstr>
  </property>
</Properties>
</file>